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2015年石龙区纪委部门决算基本情况</w:t>
      </w:r>
    </w:p>
    <w:p>
      <w:p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微软雅黑" w:hAnsi="微软雅黑" w:eastAsia="微软雅黑"/>
          <w:sz w:val="20"/>
          <w:szCs w:val="20"/>
        </w:rPr>
      </w:pP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 xml:space="preserve"> 一、部门基本情况</w:t>
      </w:r>
    </w:p>
    <w:p>
      <w:pPr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1、主要职责：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负责贯彻落实党中央、中央纪委、省委、省纪委和市委关于加强党风廉政建设的决定，实施党章规定范围内的监督，维护党的章程和党内法规，检查党的路线、方针、政策和决议的执行情况，重点检查监督县处级党员领导干部执行党的路线、方针、政策情况及思想作风方面的问题；负责反腐败的组织协调工作，协助市委、区委抓好党风廉政建设。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left="1" w:right="0" w:firstLine="640"/>
        <w:jc w:val="left"/>
        <w:textAlignment w:val="auto"/>
        <w:outlineLvl w:val="9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2、机构人员情况：我单位现有在编人员34人，财政全额供给34人。其中行政编制人数9人，工勤编制人数4人，参公事业编制人数21人。我单位共有退休人员3人。机关内设5个股室。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二、2015年度收入支出决算总体情况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    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2015年度收入总计252.1万元，其中：财政拨款收入 252.1万元。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  2015年度支出总计254.7万元，其中：一般公共服务支出231.22万元，社会保障和就业支出13.84万元，医疗卫生与计划生育支出9.64万元。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 2015年度一般公共预算财政拨款支出决算情况：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  2015年度一般公共预算财政拨款支出决算为249.7万元，具体情况如下：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（1）“基本支出”2015年度决算199.5万元，其中：人员经费188.8万元、日常公用经费10.7万元。 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（2）“项目支出” 2015年度决算50.2万元，主要用于查办案件和信息化建设的费用支出。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三、2015年度一般公共预算财政拨款“三公”经费支出决算情况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 2015年度，纪委“三公”经费财政拨款支出决算数为32万元，其中：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 （1）因公出国（境）费决算0元。2015年使用财政拨款安排本单位出国（境）团组0个、参加其他单位组织的出国（境）团组0个，全年因公出国（境）团组共计0个，累计0人次。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  （2）公务用车购置及运行维护费决算21.4万元。其中：公务用车购置费支出0元。公务用车运行维护费21.4万元。主要用于公务用车燃料费、维修费、过路过桥费、保险费等支出。</w:t>
      </w:r>
    </w:p>
    <w:p>
      <w:pPr>
        <w:widowControl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  （3）公务接待费决算10.6万元。2015年公务接待全部为国内公务接待，主要用于上级纪委部门工作人员到我单位考察调研、检查指导工作等国内公务接待活动的食宿费。在公务接待中，贯彻党中央“八项规定”、《党政机关厉行节约反对浪费条例》、《党政机关国内公务接待管理规定》、《平顶山市党政机关国内公务接待实施细则》及区委区政府要求，严格执行相关规定，共接待80批，640人次。</w:t>
      </w:r>
    </w:p>
    <w:p>
      <w:pPr>
        <w:widowControl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</w:rPr>
        <w:t>四、政府采购情况</w:t>
      </w:r>
      <w:bookmarkStart w:id="0" w:name="_GoBack"/>
      <w:bookmarkEnd w:id="0"/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2015年纪委无政府采购支出。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附件1：收入支出决算表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附件2：收入决算表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附件3：支出决算表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附件4：财政拨款收入支出决算表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附件5：一般公共预算财政拨款收入支出决算表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附件6：政府性基金预算财政拨款收入支出决算表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附件7：三公经费决算表</w:t>
      </w:r>
    </w:p>
    <w:p>
      <w:pPr>
        <w:pStyle w:val="5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附件8：政府采购情况表</w:t>
      </w:r>
    </w:p>
    <w:p>
      <w:p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微软雅黑" w:hAnsi="微软雅黑" w:eastAsia="微软雅黑"/>
          <w:sz w:val="20"/>
          <w:szCs w:val="20"/>
        </w:rPr>
      </w:pPr>
    </w:p>
    <w:p>
      <w:pPr>
        <w:wordWrap/>
        <w:adjustRightInd/>
        <w:snapToGrid/>
        <w:spacing w:before="0" w:after="0" w:line="600" w:lineRule="exact"/>
        <w:ind w:right="0"/>
        <w:textAlignment w:val="auto"/>
        <w:outlineLvl w:val="9"/>
      </w:pPr>
    </w:p>
    <w:p>
      <w:pPr>
        <w:wordWrap/>
        <w:adjustRightInd/>
        <w:snapToGrid/>
        <w:spacing w:before="0" w:after="0" w:line="600" w:lineRule="exact"/>
        <w:ind w:right="0"/>
        <w:textAlignment w:val="auto"/>
        <w:outlineLvl w:val="9"/>
      </w:pPr>
    </w:p>
    <w:sectPr>
      <w:headerReference r:id="rId4" w:type="default"/>
      <w:footerReference r:id="rId5" w:type="default"/>
      <w:pgSz w:w="11906" w:h="16838"/>
      <w:pgMar w:top="1701" w:right="1701" w:bottom="1701" w:left="1701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1001</Characters>
  <Lines>8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2016-10-04T17:14:00Z</dcterms:created>
  <dc:creator>Administrator</dc:creator>
  <dcterms:modified xsi:type="dcterms:W3CDTF">2016-10-10T08:41:47Z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