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城市管理局权责</w:t>
      </w:r>
      <w:bookmarkStart w:id="0" w:name="_GoBack"/>
      <w:bookmarkEnd w:id="0"/>
      <w:r>
        <w:rPr>
          <w:rFonts w:hint="eastAsia" w:asciiTheme="majorEastAsia" w:hAnsiTheme="majorEastAsia" w:eastAsiaTheme="majorEastAsia"/>
          <w:b/>
          <w:sz w:val="44"/>
          <w:szCs w:val="44"/>
        </w:rPr>
        <w:t>清单</w:t>
      </w:r>
      <w:r>
        <w:rPr>
          <w:rFonts w:hint="eastAsia" w:ascii="宋体" w:hAnsi="宋体" w:eastAsia="宋体"/>
          <w:b/>
          <w:sz w:val="44"/>
          <w:szCs w:val="44"/>
          <w:lang w:eastAsia="zh-CN"/>
        </w:rPr>
        <w:t>（拟调整）</w:t>
      </w:r>
      <w:r>
        <w:rPr>
          <w:rFonts w:hint="eastAsia" w:asciiTheme="majorEastAsia" w:hAnsiTheme="majorEastAsia" w:eastAsiaTheme="majorEastAsia"/>
          <w:b/>
          <w:sz w:val="44"/>
          <w:szCs w:val="44"/>
        </w:rPr>
        <w:t>情况表</w:t>
      </w:r>
    </w:p>
    <w:tbl>
      <w:tblPr>
        <w:tblStyle w:val="7"/>
        <w:tblW w:w="14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2187"/>
        <w:gridCol w:w="6742"/>
        <w:gridCol w:w="992"/>
        <w:gridCol w:w="803"/>
        <w:gridCol w:w="1109"/>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34" w:type="dxa"/>
            <w:vAlign w:val="center"/>
          </w:tcPr>
          <w:p>
            <w:pPr>
              <w:spacing w:after="0" w:line="220" w:lineRule="atLeast"/>
              <w:jc w:val="center"/>
              <w:rPr>
                <w:rFonts w:ascii="仿宋" w:hAnsi="仿宋" w:eastAsia="仿宋"/>
                <w:b/>
                <w:sz w:val="28"/>
                <w:szCs w:val="28"/>
              </w:rPr>
            </w:pPr>
            <w:r>
              <w:rPr>
                <w:rFonts w:hint="eastAsia" w:ascii="仿宋" w:hAnsi="仿宋" w:eastAsia="仿宋"/>
                <w:b/>
                <w:sz w:val="28"/>
                <w:szCs w:val="28"/>
              </w:rPr>
              <w:t>序号</w:t>
            </w:r>
          </w:p>
        </w:tc>
        <w:tc>
          <w:tcPr>
            <w:tcW w:w="2187" w:type="dxa"/>
            <w:vAlign w:val="center"/>
          </w:tcPr>
          <w:p>
            <w:pPr>
              <w:spacing w:after="0" w:line="220" w:lineRule="atLeast"/>
              <w:jc w:val="center"/>
              <w:rPr>
                <w:rFonts w:ascii="仿宋" w:hAnsi="仿宋" w:eastAsia="仿宋"/>
                <w:b/>
                <w:sz w:val="28"/>
                <w:szCs w:val="28"/>
              </w:rPr>
            </w:pPr>
            <w:r>
              <w:rPr>
                <w:rFonts w:hint="eastAsia" w:ascii="仿宋" w:hAnsi="仿宋" w:eastAsia="仿宋"/>
                <w:b/>
                <w:sz w:val="28"/>
                <w:szCs w:val="28"/>
              </w:rPr>
              <w:t>项目名称</w:t>
            </w:r>
          </w:p>
        </w:tc>
        <w:tc>
          <w:tcPr>
            <w:tcW w:w="6742" w:type="dxa"/>
            <w:vAlign w:val="center"/>
          </w:tcPr>
          <w:p>
            <w:pPr>
              <w:spacing w:after="0" w:line="220" w:lineRule="atLeast"/>
              <w:jc w:val="center"/>
              <w:rPr>
                <w:rFonts w:ascii="仿宋" w:hAnsi="仿宋" w:eastAsia="仿宋"/>
                <w:b/>
                <w:sz w:val="28"/>
                <w:szCs w:val="28"/>
              </w:rPr>
            </w:pPr>
            <w:r>
              <w:rPr>
                <w:rFonts w:hint="eastAsia" w:ascii="仿宋" w:hAnsi="仿宋" w:eastAsia="仿宋"/>
                <w:b/>
                <w:sz w:val="28"/>
                <w:szCs w:val="28"/>
              </w:rPr>
              <w:t>设定依据</w:t>
            </w:r>
          </w:p>
        </w:tc>
        <w:tc>
          <w:tcPr>
            <w:tcW w:w="992" w:type="dxa"/>
            <w:vAlign w:val="center"/>
          </w:tcPr>
          <w:p>
            <w:pPr>
              <w:spacing w:after="0" w:line="220" w:lineRule="atLeast"/>
              <w:jc w:val="center"/>
              <w:rPr>
                <w:rFonts w:ascii="仿宋" w:hAnsi="仿宋" w:eastAsia="仿宋"/>
                <w:b/>
                <w:sz w:val="28"/>
                <w:szCs w:val="28"/>
              </w:rPr>
            </w:pPr>
            <w:r>
              <w:rPr>
                <w:rFonts w:hint="eastAsia" w:ascii="仿宋" w:hAnsi="仿宋" w:eastAsia="仿宋"/>
                <w:b/>
                <w:sz w:val="28"/>
                <w:szCs w:val="28"/>
              </w:rPr>
              <w:t>职权类别</w:t>
            </w:r>
          </w:p>
        </w:tc>
        <w:tc>
          <w:tcPr>
            <w:tcW w:w="803" w:type="dxa"/>
            <w:vAlign w:val="center"/>
          </w:tcPr>
          <w:p>
            <w:pPr>
              <w:spacing w:after="0" w:line="220" w:lineRule="atLeast"/>
              <w:jc w:val="center"/>
              <w:rPr>
                <w:rFonts w:ascii="仿宋" w:hAnsi="仿宋" w:eastAsia="仿宋"/>
                <w:b/>
                <w:sz w:val="28"/>
                <w:szCs w:val="28"/>
              </w:rPr>
            </w:pPr>
            <w:r>
              <w:rPr>
                <w:rFonts w:hint="eastAsia" w:ascii="仿宋" w:hAnsi="仿宋" w:eastAsia="仿宋"/>
                <w:b/>
                <w:sz w:val="28"/>
                <w:szCs w:val="28"/>
              </w:rPr>
              <w:t>责任科室</w:t>
            </w:r>
          </w:p>
        </w:tc>
        <w:tc>
          <w:tcPr>
            <w:tcW w:w="1109" w:type="dxa"/>
            <w:vAlign w:val="center"/>
          </w:tcPr>
          <w:p>
            <w:pPr>
              <w:spacing w:after="0" w:line="220" w:lineRule="atLeast"/>
              <w:jc w:val="center"/>
              <w:rPr>
                <w:rFonts w:ascii="仿宋" w:hAnsi="仿宋" w:eastAsia="仿宋"/>
                <w:b/>
                <w:sz w:val="28"/>
                <w:szCs w:val="28"/>
              </w:rPr>
            </w:pPr>
            <w:r>
              <w:rPr>
                <w:rFonts w:hint="eastAsia" w:ascii="仿宋" w:hAnsi="仿宋" w:eastAsia="仿宋"/>
                <w:b/>
                <w:sz w:val="28"/>
                <w:szCs w:val="28"/>
              </w:rPr>
              <w:t>拟调整情况</w:t>
            </w:r>
          </w:p>
        </w:tc>
        <w:tc>
          <w:tcPr>
            <w:tcW w:w="2251" w:type="dxa"/>
            <w:vAlign w:val="center"/>
          </w:tcPr>
          <w:p>
            <w:pPr>
              <w:spacing w:after="0" w:line="220" w:lineRule="atLeast"/>
              <w:jc w:val="center"/>
              <w:rPr>
                <w:rFonts w:ascii="仿宋" w:hAnsi="仿宋" w:eastAsia="仿宋"/>
                <w:b/>
                <w:sz w:val="28"/>
                <w:szCs w:val="28"/>
              </w:rPr>
            </w:pPr>
            <w:r>
              <w:rPr>
                <w:rFonts w:hint="eastAsia" w:ascii="仿宋" w:hAnsi="仿宋" w:eastAsia="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534" w:type="dxa"/>
            <w:vAlign w:val="center"/>
          </w:tcPr>
          <w:p>
            <w:pPr>
              <w:spacing w:after="0" w:line="220" w:lineRule="atLeast"/>
              <w:rPr>
                <w:rFonts w:hint="eastAsia" w:ascii="宋体" w:hAnsi="宋体" w:cs="宋体"/>
              </w:rPr>
            </w:pPr>
            <w:r>
              <w:rPr>
                <w:rFonts w:hint="eastAsia" w:ascii="宋体" w:hAnsi="宋体" w:cs="宋体"/>
              </w:rPr>
              <w:t>1</w:t>
            </w:r>
          </w:p>
        </w:tc>
        <w:tc>
          <w:tcPr>
            <w:tcW w:w="2187" w:type="dxa"/>
            <w:vAlign w:val="center"/>
          </w:tcPr>
          <w:p>
            <w:pPr>
              <w:spacing w:after="0" w:line="220" w:lineRule="atLeast"/>
              <w:rPr>
                <w:rFonts w:hint="eastAsia" w:ascii="宋体" w:hAnsi="宋体" w:cs="宋体"/>
              </w:rPr>
            </w:pPr>
            <w:r>
              <w:rPr>
                <w:rFonts w:hint="eastAsia" w:ascii="宋体" w:hAnsi="宋体" w:cs="宋体"/>
              </w:rPr>
              <w:t>临时占用城市道路许可</w:t>
            </w:r>
          </w:p>
          <w:p>
            <w:pPr>
              <w:spacing w:after="0" w:line="220" w:lineRule="atLeast"/>
              <w:rPr>
                <w:rFonts w:hint="eastAsia" w:ascii="宋体" w:hAnsi="宋体" w:cs="宋体"/>
              </w:rPr>
            </w:pPr>
          </w:p>
        </w:tc>
        <w:tc>
          <w:tcPr>
            <w:tcW w:w="6742" w:type="dxa"/>
            <w:vAlign w:val="center"/>
          </w:tcPr>
          <w:p>
            <w:pPr>
              <w:spacing w:after="0" w:line="220" w:lineRule="atLeast"/>
              <w:rPr>
                <w:rFonts w:hint="eastAsia" w:ascii="宋体" w:hAnsi="宋体" w:cs="宋体"/>
              </w:rPr>
            </w:pPr>
            <w:r>
              <w:rPr>
                <w:rFonts w:hint="eastAsia" w:ascii="宋体" w:hAnsi="宋体" w:cs="宋体"/>
              </w:rPr>
              <w:t>【法律】:《中华人民共和国道路交通安全法》第32条第一款:因工程建设需要占用、挖掘道路,或者跨越、穿越道路架设、增设管线设施,应当事先征得道路主管部门的同意</w:t>
            </w:r>
          </w:p>
          <w:p>
            <w:pPr>
              <w:spacing w:after="0" w:line="220" w:lineRule="atLeast"/>
              <w:rPr>
                <w:rFonts w:hint="eastAsia" w:ascii="宋体" w:hAnsi="宋体" w:cs="宋体"/>
              </w:rPr>
            </w:pPr>
            <w:r>
              <w:rPr>
                <w:rFonts w:hint="eastAsia" w:ascii="宋体" w:hAnsi="宋体" w:cs="宋体"/>
              </w:rPr>
              <w:t>【行政法规】:《城市道路管理条例》第31条第一款:因特殊据况需要临时占用城市道路的,须经市政工程行政主管部门和公安交通管理部门批准,方可按照规定占用</w:t>
            </w:r>
          </w:p>
        </w:tc>
        <w:tc>
          <w:tcPr>
            <w:tcW w:w="992" w:type="dxa"/>
            <w:vAlign w:val="center"/>
          </w:tcPr>
          <w:p>
            <w:pPr>
              <w:spacing w:after="0" w:line="220" w:lineRule="atLeast"/>
              <w:rPr>
                <w:rFonts w:hint="eastAsia" w:ascii="宋体" w:hAnsi="宋体" w:cs="宋体"/>
              </w:rPr>
            </w:pPr>
            <w:r>
              <w:rPr>
                <w:rFonts w:hint="eastAsia" w:ascii="宋体" w:hAnsi="宋体" w:cs="宋体"/>
              </w:rPr>
              <w:t>行政许可</w:t>
            </w:r>
          </w:p>
        </w:tc>
        <w:tc>
          <w:tcPr>
            <w:tcW w:w="803" w:type="dxa"/>
            <w:vAlign w:val="center"/>
          </w:tcPr>
          <w:p>
            <w:pPr>
              <w:spacing w:after="0" w:line="220" w:lineRule="atLeast"/>
              <w:rPr>
                <w:rFonts w:hint="eastAsia" w:ascii="宋体" w:hAnsi="宋体" w:eastAsia="微软雅黑" w:cs="宋体"/>
                <w:lang w:eastAsia="zh-CN"/>
              </w:rPr>
            </w:pPr>
            <w:r>
              <w:rPr>
                <w:rFonts w:hint="eastAsia" w:ascii="宋体" w:hAnsi="宋体" w:cs="宋体"/>
                <w:lang w:eastAsia="zh-CN"/>
              </w:rPr>
              <w:t>政策法规股</w:t>
            </w:r>
          </w:p>
        </w:tc>
        <w:tc>
          <w:tcPr>
            <w:tcW w:w="1109" w:type="dxa"/>
            <w:vAlign w:val="center"/>
          </w:tcPr>
          <w:p>
            <w:pPr>
              <w:spacing w:line="220" w:lineRule="atLeast"/>
              <w:jc w:val="center"/>
              <w:rPr>
                <w:rFonts w:hint="eastAsia" w:ascii="宋体" w:hAnsi="宋体" w:cs="宋体"/>
              </w:rPr>
            </w:pPr>
            <w:r>
              <w:rPr>
                <w:rFonts w:hint="eastAsia" w:ascii="宋体" w:hAnsi="宋体" w:cs="宋体"/>
                <w:sz w:val="20"/>
                <w:szCs w:val="20"/>
                <w:lang w:eastAsia="zh-CN"/>
              </w:rPr>
              <w:t>拟调入</w:t>
            </w:r>
          </w:p>
        </w:tc>
        <w:tc>
          <w:tcPr>
            <w:tcW w:w="2251" w:type="dxa"/>
          </w:tcPr>
          <w:p>
            <w:pPr>
              <w:spacing w:after="0" w:line="220" w:lineRule="atLeast"/>
              <w:rPr>
                <w:rFonts w:hint="eastAsia" w:ascii="宋体" w:hAnsi="宋体" w:cs="宋体"/>
              </w:rPr>
            </w:pPr>
            <w:r>
              <w:rPr>
                <w:rFonts w:hint="eastAsia" w:ascii="宋体" w:hAnsi="宋体" w:cs="宋体"/>
              </w:rPr>
              <w:t>此次机构改革职能划转，划入来源为区建设交通局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trPr>
        <w:tc>
          <w:tcPr>
            <w:tcW w:w="534" w:type="dxa"/>
            <w:vAlign w:val="center"/>
          </w:tcPr>
          <w:p>
            <w:pPr>
              <w:spacing w:after="0" w:line="220" w:lineRule="atLeast"/>
              <w:rPr>
                <w:rFonts w:hint="eastAsia" w:ascii="宋体" w:hAnsi="宋体" w:cs="宋体"/>
              </w:rPr>
            </w:pPr>
            <w:r>
              <w:rPr>
                <w:rFonts w:hint="eastAsia" w:ascii="宋体" w:hAnsi="宋体" w:cs="宋体"/>
              </w:rPr>
              <w:t>2</w:t>
            </w:r>
          </w:p>
        </w:tc>
        <w:tc>
          <w:tcPr>
            <w:tcW w:w="2187" w:type="dxa"/>
            <w:vAlign w:val="center"/>
          </w:tcPr>
          <w:p>
            <w:pPr>
              <w:spacing w:after="0" w:line="220" w:lineRule="atLeast"/>
              <w:rPr>
                <w:rFonts w:hint="eastAsia" w:ascii="宋体" w:hAnsi="宋体" w:cs="宋体"/>
              </w:rPr>
            </w:pPr>
            <w:r>
              <w:rPr>
                <w:rFonts w:hint="eastAsia" w:ascii="宋体" w:hAnsi="宋体" w:cs="宋体"/>
              </w:rPr>
              <w:t>城镇污水排入排水管网许可</w:t>
            </w:r>
          </w:p>
          <w:p>
            <w:pPr>
              <w:spacing w:after="0" w:line="220" w:lineRule="atLeast"/>
              <w:rPr>
                <w:rFonts w:hint="eastAsia" w:ascii="宋体" w:hAnsi="宋体" w:cs="宋体"/>
              </w:rPr>
            </w:pPr>
          </w:p>
        </w:tc>
        <w:tc>
          <w:tcPr>
            <w:tcW w:w="6742" w:type="dxa"/>
            <w:vAlign w:val="center"/>
          </w:tcPr>
          <w:p>
            <w:pPr>
              <w:spacing w:after="0" w:line="220" w:lineRule="atLeast"/>
              <w:rPr>
                <w:rFonts w:hint="eastAsia" w:ascii="宋体" w:hAnsi="宋体" w:cs="宋体"/>
              </w:rPr>
            </w:pPr>
            <w:r>
              <w:rPr>
                <w:rFonts w:hint="eastAsia" w:ascii="宋体" w:hAnsi="宋体" w:cs="宋体"/>
              </w:rPr>
              <w:t>【规章】《城镇污水排入排水管网许可管理办法》（建设部令第21号 2015年3月1日起施行）第二十六条 违反本办法规定，排水户未取得排水许可，向城镇排水设施排放污水的，由城镇排水主管部门责令停止违法行为，限期采取治理措施，补办排水许可证，可以处50万元以下罚款；对列入重点排污单位名录的排水户，可以处30万元以上50万元以下罚款；造成损失的，依法承担赔偿责任；构成犯罪的，依法追究刑事责任。</w:t>
            </w:r>
          </w:p>
        </w:tc>
        <w:tc>
          <w:tcPr>
            <w:tcW w:w="992" w:type="dxa"/>
            <w:vAlign w:val="center"/>
          </w:tcPr>
          <w:p>
            <w:pPr>
              <w:spacing w:after="0" w:line="220" w:lineRule="atLeast"/>
              <w:rPr>
                <w:rFonts w:hint="eastAsia" w:ascii="宋体" w:hAnsi="宋体" w:cs="宋体"/>
              </w:rPr>
            </w:pPr>
            <w:r>
              <w:rPr>
                <w:rFonts w:hint="eastAsia" w:ascii="宋体" w:hAnsi="宋体" w:cs="宋体"/>
              </w:rPr>
              <w:t>行政许可</w:t>
            </w:r>
          </w:p>
        </w:tc>
        <w:tc>
          <w:tcPr>
            <w:tcW w:w="803" w:type="dxa"/>
            <w:vAlign w:val="center"/>
          </w:tcPr>
          <w:p>
            <w:pPr>
              <w:spacing w:after="0" w:line="220" w:lineRule="atLeast"/>
              <w:rPr>
                <w:rFonts w:hint="eastAsia" w:ascii="宋体" w:hAnsi="宋体" w:cs="宋体"/>
              </w:rPr>
            </w:pPr>
            <w:r>
              <w:rPr>
                <w:rFonts w:hint="eastAsia" w:ascii="宋体" w:hAnsi="宋体" w:cs="宋体"/>
                <w:lang w:eastAsia="zh-CN"/>
              </w:rPr>
              <w:t>政策法规股</w:t>
            </w:r>
          </w:p>
        </w:tc>
        <w:tc>
          <w:tcPr>
            <w:tcW w:w="1109" w:type="dxa"/>
            <w:vAlign w:val="center"/>
          </w:tcPr>
          <w:p>
            <w:pPr>
              <w:spacing w:line="220" w:lineRule="atLeast"/>
              <w:jc w:val="center"/>
              <w:rPr>
                <w:rFonts w:hint="eastAsia" w:ascii="宋体" w:hAnsi="宋体" w:cs="宋体"/>
              </w:rPr>
            </w:pPr>
            <w:r>
              <w:rPr>
                <w:rFonts w:hint="eastAsia" w:ascii="宋体" w:hAnsi="宋体" w:cs="宋体"/>
                <w:sz w:val="20"/>
                <w:szCs w:val="20"/>
                <w:lang w:eastAsia="zh-CN"/>
              </w:rPr>
              <w:t>拟调入</w:t>
            </w:r>
          </w:p>
        </w:tc>
        <w:tc>
          <w:tcPr>
            <w:tcW w:w="2251" w:type="dxa"/>
          </w:tcPr>
          <w:p>
            <w:pPr>
              <w:spacing w:after="0" w:line="220" w:lineRule="atLeast"/>
              <w:rPr>
                <w:rFonts w:hint="eastAsia" w:ascii="宋体" w:hAnsi="宋体" w:cs="宋体"/>
              </w:rPr>
            </w:pPr>
            <w:r>
              <w:rPr>
                <w:rFonts w:hint="eastAsia" w:ascii="宋体" w:hAnsi="宋体" w:cs="宋体"/>
              </w:rPr>
              <w:t>此次机构改革职能划转，划入来源为区建设交通局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534" w:type="dxa"/>
            <w:vAlign w:val="center"/>
          </w:tcPr>
          <w:p>
            <w:pPr>
              <w:spacing w:after="0" w:line="220" w:lineRule="atLeast"/>
              <w:rPr>
                <w:rFonts w:hint="eastAsia" w:ascii="宋体" w:hAnsi="宋体" w:cs="宋体"/>
              </w:rPr>
            </w:pPr>
            <w:r>
              <w:rPr>
                <w:rFonts w:hint="eastAsia" w:ascii="宋体" w:hAnsi="宋体" w:cs="宋体"/>
              </w:rPr>
              <w:t>3</w:t>
            </w:r>
          </w:p>
        </w:tc>
        <w:tc>
          <w:tcPr>
            <w:tcW w:w="2187" w:type="dxa"/>
            <w:vAlign w:val="center"/>
          </w:tcPr>
          <w:p>
            <w:pPr>
              <w:spacing w:after="0" w:line="220" w:lineRule="atLeast"/>
              <w:rPr>
                <w:rFonts w:hint="eastAsia" w:ascii="宋体" w:hAnsi="宋体" w:cs="宋体"/>
              </w:rPr>
            </w:pPr>
            <w:r>
              <w:rPr>
                <w:rFonts w:hint="eastAsia" w:ascii="宋体" w:hAnsi="宋体" w:cs="宋体"/>
              </w:rPr>
              <w:t>城镇燃气经营许可（城区）</w:t>
            </w:r>
          </w:p>
        </w:tc>
        <w:tc>
          <w:tcPr>
            <w:tcW w:w="6742" w:type="dxa"/>
          </w:tcPr>
          <w:p>
            <w:pPr>
              <w:spacing w:after="0" w:line="220" w:lineRule="atLeast"/>
              <w:rPr>
                <w:rFonts w:hint="eastAsia" w:ascii="宋体" w:hAnsi="宋体" w:cs="宋体"/>
              </w:rPr>
            </w:pPr>
            <w:r>
              <w:rPr>
                <w:rFonts w:hint="eastAsia" w:ascii="宋体" w:hAnsi="宋体" w:cs="宋体"/>
              </w:rPr>
              <w:t>【行政法规】《城镇燃气管理条例》（2010年11月19日国务院令第583号）第十五条 国家对燃气经营实行许可证制度。从事燃气经营活动的企业，应当具备下列条件：（一）符合燃气发展规划要求；（二）有符合国家标准的燃气气源和燃气设施；（三）有固定的经营场所、完善的安全管理制度和健全的经营方案；（四）企业的主要负责人、安全生产管理人员以及运行、维护和抢修人员经专业培训并考核合格；（五）法律、法规规定的其他条件。</w:t>
            </w:r>
            <w:r>
              <w:rPr>
                <w:rFonts w:hint="eastAsia" w:ascii="宋体" w:hAnsi="宋体" w:cs="宋体"/>
              </w:rPr>
              <w:br w:type="textWrapping"/>
            </w:r>
            <w:r>
              <w:rPr>
                <w:rFonts w:hint="eastAsia" w:ascii="宋体" w:hAnsi="宋体" w:cs="宋体"/>
              </w:rPr>
              <w:t>符合前款规定条件的，由县级以上地方人民政府燃气管理部门核发燃气经营许可证。</w:t>
            </w:r>
            <w:r>
              <w:rPr>
                <w:rFonts w:hint="eastAsia" w:ascii="宋体" w:hAnsi="宋体" w:cs="宋体"/>
              </w:rPr>
              <w:br w:type="textWrapping"/>
            </w:r>
            <w:r>
              <w:rPr>
                <w:rFonts w:hint="eastAsia" w:ascii="宋体" w:hAnsi="宋体" w:cs="宋体"/>
              </w:rPr>
              <w:t>申请人凭燃气经营许可证到工商行政管理部门依法办理登记手续。</w:t>
            </w:r>
          </w:p>
        </w:tc>
        <w:tc>
          <w:tcPr>
            <w:tcW w:w="992" w:type="dxa"/>
            <w:vAlign w:val="center"/>
          </w:tcPr>
          <w:p>
            <w:pPr>
              <w:spacing w:after="0" w:line="220" w:lineRule="atLeast"/>
              <w:rPr>
                <w:rFonts w:hint="eastAsia" w:ascii="宋体" w:hAnsi="宋体" w:cs="宋体"/>
              </w:rPr>
            </w:pPr>
            <w:r>
              <w:rPr>
                <w:rFonts w:hint="eastAsia" w:ascii="宋体" w:hAnsi="宋体" w:cs="宋体"/>
              </w:rPr>
              <w:t>行政许可</w:t>
            </w:r>
          </w:p>
        </w:tc>
        <w:tc>
          <w:tcPr>
            <w:tcW w:w="803" w:type="dxa"/>
            <w:vAlign w:val="center"/>
          </w:tcPr>
          <w:p>
            <w:pPr>
              <w:spacing w:after="0" w:line="220" w:lineRule="atLeast"/>
              <w:rPr>
                <w:rFonts w:hint="eastAsia" w:ascii="宋体" w:hAnsi="宋体" w:cs="宋体"/>
              </w:rPr>
            </w:pPr>
            <w:r>
              <w:rPr>
                <w:rFonts w:hint="eastAsia" w:ascii="宋体" w:hAnsi="宋体" w:cs="宋体"/>
                <w:lang w:eastAsia="zh-CN"/>
              </w:rPr>
              <w:t>政策法规股</w:t>
            </w:r>
          </w:p>
        </w:tc>
        <w:tc>
          <w:tcPr>
            <w:tcW w:w="1109" w:type="dxa"/>
            <w:vAlign w:val="center"/>
          </w:tcPr>
          <w:p>
            <w:pPr>
              <w:spacing w:line="220" w:lineRule="atLeast"/>
              <w:jc w:val="center"/>
              <w:rPr>
                <w:rFonts w:hint="eastAsia" w:ascii="宋体" w:hAnsi="宋体" w:cs="宋体"/>
              </w:rPr>
            </w:pPr>
            <w:r>
              <w:rPr>
                <w:rFonts w:hint="eastAsia" w:ascii="宋体" w:hAnsi="宋体" w:cs="宋体"/>
                <w:sz w:val="20"/>
                <w:szCs w:val="20"/>
                <w:lang w:eastAsia="zh-CN"/>
              </w:rPr>
              <w:t>拟调入</w:t>
            </w:r>
          </w:p>
        </w:tc>
        <w:tc>
          <w:tcPr>
            <w:tcW w:w="2251" w:type="dxa"/>
          </w:tcPr>
          <w:p>
            <w:pPr>
              <w:spacing w:after="0" w:line="220" w:lineRule="atLeast"/>
              <w:rPr>
                <w:rFonts w:hint="eastAsia" w:ascii="宋体" w:hAnsi="宋体" w:cs="宋体"/>
              </w:rPr>
            </w:pPr>
            <w:r>
              <w:rPr>
                <w:rFonts w:hint="eastAsia" w:ascii="宋体" w:hAnsi="宋体" w:cs="宋体"/>
              </w:rPr>
              <w:t>此次机构改革职能划转，划入来源为区建设交通局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trPr>
        <w:tc>
          <w:tcPr>
            <w:tcW w:w="534" w:type="dxa"/>
            <w:vAlign w:val="center"/>
          </w:tcPr>
          <w:p>
            <w:pPr>
              <w:spacing w:after="0" w:line="220" w:lineRule="atLeast"/>
              <w:rPr>
                <w:rFonts w:hint="eastAsia" w:ascii="宋体" w:hAnsi="宋体" w:cs="宋体"/>
              </w:rPr>
            </w:pPr>
            <w:r>
              <w:rPr>
                <w:rFonts w:hint="eastAsia" w:ascii="宋体" w:hAnsi="宋体" w:cs="宋体"/>
              </w:rPr>
              <w:t>4</w:t>
            </w:r>
          </w:p>
        </w:tc>
        <w:tc>
          <w:tcPr>
            <w:tcW w:w="2187" w:type="dxa"/>
            <w:vAlign w:val="center"/>
          </w:tcPr>
          <w:p>
            <w:pPr>
              <w:spacing w:after="0" w:line="220" w:lineRule="atLeast"/>
              <w:rPr>
                <w:rFonts w:hint="eastAsia" w:ascii="宋体" w:hAnsi="宋体" w:cs="宋体"/>
              </w:rPr>
            </w:pPr>
            <w:r>
              <w:rPr>
                <w:rFonts w:hint="eastAsia" w:ascii="宋体" w:hAnsi="宋体" w:cs="宋体"/>
              </w:rPr>
              <w:t>挖掘城市道路许可</w:t>
            </w:r>
          </w:p>
          <w:p>
            <w:pPr>
              <w:spacing w:after="0" w:line="220" w:lineRule="atLeast"/>
              <w:rPr>
                <w:rFonts w:hint="eastAsia" w:ascii="宋体" w:hAnsi="宋体" w:cs="宋体"/>
              </w:rPr>
            </w:pPr>
          </w:p>
        </w:tc>
        <w:tc>
          <w:tcPr>
            <w:tcW w:w="6742" w:type="dxa"/>
            <w:vAlign w:val="center"/>
          </w:tcPr>
          <w:p>
            <w:pPr>
              <w:spacing w:after="0" w:line="220" w:lineRule="atLeast"/>
              <w:rPr>
                <w:rFonts w:hint="eastAsia" w:ascii="宋体" w:hAnsi="宋体" w:cs="宋体"/>
              </w:rPr>
            </w:pPr>
            <w:r>
              <w:rPr>
                <w:rFonts w:hint="eastAsia" w:ascii="宋体" w:hAnsi="宋体" w:cs="宋体"/>
              </w:rPr>
              <w:t>《中华人民共和国城市道路管理条例》第三十条 ：“未经市政工程行政主管部门和公安交通管理部门批准，任何单位或者个人不得占用或者挖掘城市道路。 ”及第三十三条 ：“因工程建设需要挖掘城市道路的，应当持城市规划部门批准签发的文件和有关设计文件，到市政工程行政主管部门和公安交通管理部门办理审批手续，方可按照规定挖掘。”</w:t>
            </w:r>
          </w:p>
          <w:p>
            <w:pPr>
              <w:spacing w:after="0" w:line="220" w:lineRule="atLeast"/>
              <w:rPr>
                <w:rFonts w:hint="eastAsia" w:ascii="宋体" w:hAnsi="宋体" w:cs="宋体"/>
              </w:rPr>
            </w:pPr>
            <w:r>
              <w:rPr>
                <w:rFonts w:hint="eastAsia" w:ascii="宋体" w:hAnsi="宋体" w:cs="宋体"/>
              </w:rPr>
              <w:t>《河南省市政设施管理办法》(河南省人民政府令第72号)第二十条：</w:t>
            </w:r>
          </w:p>
          <w:p>
            <w:pPr>
              <w:spacing w:after="0" w:line="220" w:lineRule="atLeast"/>
              <w:rPr>
                <w:rFonts w:hint="eastAsia" w:ascii="宋体" w:hAnsi="宋体" w:cs="宋体"/>
              </w:rPr>
            </w:pPr>
            <w:r>
              <w:rPr>
                <w:rFonts w:hint="eastAsia" w:ascii="宋体" w:hAnsi="宋体" w:cs="宋体"/>
              </w:rPr>
              <w:t>“市政设施管理范围内进行下列行为应当报经市政行政主管部门批准。”</w:t>
            </w:r>
          </w:p>
        </w:tc>
        <w:tc>
          <w:tcPr>
            <w:tcW w:w="992" w:type="dxa"/>
            <w:vAlign w:val="center"/>
          </w:tcPr>
          <w:p>
            <w:pPr>
              <w:spacing w:after="0" w:line="220" w:lineRule="atLeast"/>
              <w:rPr>
                <w:rFonts w:hint="eastAsia" w:ascii="宋体" w:hAnsi="宋体" w:cs="宋体"/>
              </w:rPr>
            </w:pPr>
            <w:r>
              <w:rPr>
                <w:rFonts w:hint="eastAsia" w:ascii="宋体" w:hAnsi="宋体" w:cs="宋体"/>
              </w:rPr>
              <w:t>行政许可</w:t>
            </w:r>
          </w:p>
        </w:tc>
        <w:tc>
          <w:tcPr>
            <w:tcW w:w="803" w:type="dxa"/>
            <w:vAlign w:val="center"/>
          </w:tcPr>
          <w:p>
            <w:pPr>
              <w:spacing w:after="0" w:line="220" w:lineRule="atLeast"/>
              <w:rPr>
                <w:rFonts w:hint="eastAsia" w:ascii="宋体" w:hAnsi="宋体" w:cs="宋体"/>
              </w:rPr>
            </w:pPr>
            <w:r>
              <w:rPr>
                <w:rFonts w:hint="eastAsia" w:ascii="宋体" w:hAnsi="宋体" w:cs="宋体"/>
                <w:lang w:eastAsia="zh-CN"/>
              </w:rPr>
              <w:t>政策法规股</w:t>
            </w:r>
          </w:p>
        </w:tc>
        <w:tc>
          <w:tcPr>
            <w:tcW w:w="1109" w:type="dxa"/>
            <w:vAlign w:val="center"/>
          </w:tcPr>
          <w:p>
            <w:pPr>
              <w:spacing w:line="220" w:lineRule="atLeast"/>
              <w:jc w:val="center"/>
              <w:rPr>
                <w:rFonts w:hint="eastAsia" w:ascii="宋体" w:hAnsi="宋体" w:eastAsia="微软雅黑" w:cs="宋体"/>
                <w:sz w:val="20"/>
                <w:szCs w:val="20"/>
                <w:lang w:val="en-US" w:eastAsia="zh-CN" w:bidi="ar-SA"/>
              </w:rPr>
            </w:pPr>
            <w:r>
              <w:rPr>
                <w:rFonts w:hint="eastAsia" w:ascii="宋体" w:hAnsi="宋体" w:cs="宋体"/>
                <w:sz w:val="20"/>
                <w:szCs w:val="20"/>
                <w:lang w:eastAsia="zh-CN"/>
              </w:rPr>
              <w:t>拟调入</w:t>
            </w:r>
          </w:p>
        </w:tc>
        <w:tc>
          <w:tcPr>
            <w:tcW w:w="2251" w:type="dxa"/>
          </w:tcPr>
          <w:p>
            <w:pPr>
              <w:spacing w:after="0" w:line="220" w:lineRule="atLeast"/>
              <w:rPr>
                <w:rFonts w:hint="eastAsia" w:ascii="宋体" w:hAnsi="宋体" w:cs="宋体"/>
              </w:rPr>
            </w:pPr>
            <w:r>
              <w:rPr>
                <w:rFonts w:hint="eastAsia" w:ascii="宋体" w:hAnsi="宋体" w:cs="宋体"/>
              </w:rPr>
              <w:t>此次机构改革职能划转，划入来源为区建设交通局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534" w:type="dxa"/>
            <w:vAlign w:val="center"/>
          </w:tcPr>
          <w:p>
            <w:pPr>
              <w:spacing w:after="0" w:line="220" w:lineRule="atLeast"/>
              <w:rPr>
                <w:rFonts w:hint="eastAsia" w:ascii="宋体" w:hAnsi="宋体" w:cs="宋体"/>
              </w:rPr>
            </w:pPr>
            <w:r>
              <w:rPr>
                <w:rFonts w:hint="eastAsia" w:ascii="宋体" w:hAnsi="宋体" w:cs="宋体"/>
              </w:rPr>
              <w:t>5</w:t>
            </w:r>
          </w:p>
        </w:tc>
        <w:tc>
          <w:tcPr>
            <w:tcW w:w="2187" w:type="dxa"/>
            <w:vAlign w:val="center"/>
          </w:tcPr>
          <w:p>
            <w:pPr>
              <w:spacing w:after="0" w:line="220" w:lineRule="atLeast"/>
              <w:rPr>
                <w:rFonts w:hint="eastAsia" w:ascii="宋体" w:hAnsi="宋体" w:cs="宋体"/>
              </w:rPr>
            </w:pPr>
            <w:r>
              <w:rPr>
                <w:rFonts w:hint="eastAsia" w:ascii="宋体" w:hAnsi="宋体" w:cs="宋体"/>
              </w:rPr>
              <w:t>设置大型户外广告及在城市建筑物、设施上悬挂、张贴宣传品审批</w:t>
            </w:r>
          </w:p>
          <w:p>
            <w:pPr>
              <w:spacing w:after="0" w:line="220" w:lineRule="atLeast"/>
              <w:rPr>
                <w:rFonts w:hint="eastAsia" w:ascii="宋体" w:hAnsi="宋体" w:cs="宋体"/>
              </w:rPr>
            </w:pPr>
          </w:p>
        </w:tc>
        <w:tc>
          <w:tcPr>
            <w:tcW w:w="6742"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cs="宋体"/>
              </w:rPr>
            </w:pPr>
            <w:r>
              <w:rPr>
                <w:rFonts w:hint="eastAsia" w:ascii="宋体" w:hAnsi="宋体" w:eastAsia="微软雅黑" w:cs="宋体"/>
                <w:b w:val="0"/>
                <w:kern w:val="0"/>
                <w:sz w:val="22"/>
                <w:szCs w:val="22"/>
                <w:lang w:val="en-US" w:eastAsia="zh-CN" w:bidi="ar-SA"/>
              </w:rPr>
              <w:t>《河南省〈城市市容和环境卫生管理条例〉实施办法》2018年修订版全文（河南省人民政府令第29号）第十四条</w:t>
            </w:r>
            <w:r>
              <w:rPr>
                <w:rFonts w:hint="eastAsia" w:eastAsia="微软雅黑" w:cs="宋体"/>
                <w:b w:val="0"/>
                <w:kern w:val="0"/>
                <w:sz w:val="22"/>
                <w:szCs w:val="22"/>
                <w:lang w:val="en-US" w:eastAsia="zh-CN" w:bidi="ar-SA"/>
              </w:rPr>
              <w:t>、</w:t>
            </w:r>
            <w:r>
              <w:rPr>
                <w:rFonts w:hint="eastAsia" w:ascii="宋体" w:hAnsi="宋体" w:eastAsia="微软雅黑" w:cs="宋体"/>
                <w:b w:val="0"/>
                <w:kern w:val="0"/>
                <w:sz w:val="22"/>
                <w:szCs w:val="22"/>
                <w:lang w:val="en-US" w:eastAsia="zh-CN" w:bidi="ar-SA"/>
              </w:rPr>
              <w:t>第十五条</w:t>
            </w:r>
            <w:r>
              <w:rPr>
                <w:rFonts w:hint="eastAsia" w:eastAsia="微软雅黑" w:cs="宋体"/>
                <w:b w:val="0"/>
                <w:kern w:val="0"/>
                <w:sz w:val="22"/>
                <w:szCs w:val="22"/>
                <w:lang w:val="en-US" w:eastAsia="zh-CN" w:bidi="ar-SA"/>
              </w:rPr>
              <w:t>。</w:t>
            </w:r>
            <w:r>
              <w:rPr>
                <w:rFonts w:hint="eastAsia" w:ascii="宋体" w:hAnsi="宋体" w:eastAsia="微软雅黑" w:cs="宋体"/>
                <w:b w:val="0"/>
                <w:kern w:val="0"/>
                <w:sz w:val="22"/>
                <w:szCs w:val="22"/>
                <w:lang w:val="en-US" w:eastAsia="zh-CN" w:bidi="ar-SA"/>
              </w:rPr>
              <w:t>在城市内设置户外广告、标语牌、画廊、橱窗、标志牌等，应当内容健康，外型美观，用字规范，并定期维修、油饰或者按期拆除。严禁在城市建筑物、公用设施以及树木上涂写、刻画或钉挂物品。经城市市容环境卫生行政主管部门批准悬挂张贴的标语、横幅等宣传品，应当符合城市容貌标准的要求，过期应当及时撤除。</w:t>
            </w:r>
          </w:p>
        </w:tc>
        <w:tc>
          <w:tcPr>
            <w:tcW w:w="992" w:type="dxa"/>
            <w:vAlign w:val="center"/>
          </w:tcPr>
          <w:p>
            <w:pPr>
              <w:spacing w:after="0" w:line="220" w:lineRule="atLeast"/>
              <w:rPr>
                <w:rFonts w:hint="eastAsia" w:ascii="宋体" w:hAnsi="宋体" w:cs="宋体"/>
              </w:rPr>
            </w:pPr>
            <w:r>
              <w:rPr>
                <w:rFonts w:hint="eastAsia" w:ascii="宋体" w:hAnsi="宋体" w:cs="宋体"/>
              </w:rPr>
              <w:t>行政许可</w:t>
            </w:r>
          </w:p>
        </w:tc>
        <w:tc>
          <w:tcPr>
            <w:tcW w:w="803" w:type="dxa"/>
            <w:vAlign w:val="center"/>
          </w:tcPr>
          <w:p>
            <w:pPr>
              <w:spacing w:after="0" w:line="220" w:lineRule="atLeast"/>
              <w:rPr>
                <w:rFonts w:hint="eastAsia" w:ascii="宋体" w:hAnsi="宋体" w:cs="宋体"/>
              </w:rPr>
            </w:pPr>
            <w:r>
              <w:rPr>
                <w:rFonts w:hint="eastAsia" w:ascii="宋体" w:hAnsi="宋体" w:cs="宋体"/>
                <w:lang w:eastAsia="zh-CN"/>
              </w:rPr>
              <w:t>政策法规股</w:t>
            </w:r>
          </w:p>
        </w:tc>
        <w:tc>
          <w:tcPr>
            <w:tcW w:w="1109" w:type="dxa"/>
            <w:vAlign w:val="center"/>
          </w:tcPr>
          <w:p>
            <w:pPr>
              <w:spacing w:line="220" w:lineRule="atLeast"/>
              <w:jc w:val="center"/>
              <w:rPr>
                <w:rFonts w:hint="eastAsia" w:ascii="宋体" w:hAnsi="宋体" w:eastAsia="微软雅黑" w:cs="宋体"/>
                <w:sz w:val="20"/>
                <w:szCs w:val="20"/>
                <w:lang w:val="en-US" w:eastAsia="zh-CN" w:bidi="ar-SA"/>
              </w:rPr>
            </w:pPr>
            <w:r>
              <w:rPr>
                <w:rFonts w:hint="eastAsia" w:ascii="宋体" w:hAnsi="宋体" w:cs="宋体"/>
                <w:sz w:val="20"/>
                <w:szCs w:val="20"/>
                <w:lang w:eastAsia="zh-CN"/>
              </w:rPr>
              <w:t>拟调入</w:t>
            </w:r>
          </w:p>
        </w:tc>
        <w:tc>
          <w:tcPr>
            <w:tcW w:w="2251" w:type="dxa"/>
            <w:vAlign w:val="center"/>
          </w:tcPr>
          <w:p>
            <w:pPr>
              <w:spacing w:after="0" w:line="220" w:lineRule="atLeast"/>
              <w:rPr>
                <w:rFonts w:hint="eastAsia" w:ascii="宋体" w:hAnsi="宋体" w:cs="宋体"/>
              </w:rPr>
            </w:pPr>
            <w:r>
              <w:rPr>
                <w:rFonts w:hint="eastAsia" w:ascii="宋体" w:hAnsi="宋体" w:cs="宋体"/>
              </w:rPr>
              <w:t>此次机构改革职能划转，划入来源为区建设交通局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trPr>
        <w:tc>
          <w:tcPr>
            <w:tcW w:w="534" w:type="dxa"/>
            <w:vAlign w:val="center"/>
          </w:tcPr>
          <w:p>
            <w:pPr>
              <w:spacing w:after="0" w:line="220" w:lineRule="atLeast"/>
              <w:rPr>
                <w:rFonts w:hint="eastAsia" w:ascii="宋体" w:hAnsi="宋体" w:cs="宋体"/>
              </w:rPr>
            </w:pPr>
            <w:r>
              <w:rPr>
                <w:rFonts w:hint="eastAsia" w:ascii="宋体" w:hAnsi="宋体" w:cs="宋体"/>
              </w:rPr>
              <w:t>6</w:t>
            </w:r>
          </w:p>
        </w:tc>
        <w:tc>
          <w:tcPr>
            <w:tcW w:w="2187" w:type="dxa"/>
            <w:vAlign w:val="center"/>
          </w:tcPr>
          <w:p>
            <w:pPr>
              <w:spacing w:after="0" w:line="220" w:lineRule="atLeast"/>
              <w:rPr>
                <w:rFonts w:hint="eastAsia" w:ascii="宋体" w:hAnsi="宋体" w:cs="宋体"/>
              </w:rPr>
            </w:pPr>
            <w:r>
              <w:rPr>
                <w:rFonts w:hint="eastAsia" w:ascii="宋体" w:hAnsi="宋体" w:cs="宋体"/>
              </w:rPr>
              <w:t>依附于城市道路、桥梁建设各种管线、杆线等设施许可</w:t>
            </w:r>
          </w:p>
          <w:p>
            <w:pPr>
              <w:spacing w:after="0" w:line="220" w:lineRule="atLeast"/>
              <w:rPr>
                <w:rFonts w:hint="eastAsia" w:ascii="宋体" w:hAnsi="宋体" w:cs="宋体"/>
              </w:rPr>
            </w:pPr>
          </w:p>
        </w:tc>
        <w:tc>
          <w:tcPr>
            <w:tcW w:w="6742" w:type="dxa"/>
          </w:tcPr>
          <w:p>
            <w:pPr>
              <w:spacing w:after="0" w:line="220" w:lineRule="atLeast"/>
              <w:rPr>
                <w:rFonts w:hint="eastAsia" w:ascii="宋体" w:hAnsi="宋体" w:cs="宋体"/>
              </w:rPr>
            </w:pPr>
            <w:r>
              <w:rPr>
                <w:rFonts w:hint="eastAsia" w:ascii="宋体" w:hAnsi="宋体" w:cs="宋体"/>
              </w:rPr>
              <w:t>《城市道路管理条例》第二十九条，依附于城市道路建设各种管线、杆线等设施的，应当经市政工程行政主管部门批准，方可建设。《建设工程安全生产管理条例》第六条规定，建设单位应当向施工单位提供施工现场及毗邻区域内供水、排水、供电、供气、供热、通信、广播电视等地下管线资料，气象和水文观测资料，相邻建筑物和构筑物、地下工程的有关资料，并保证资料的真实、准确、完整。第十条规定，建设单位在申请领取施工许可证时，应当提供建设工程有关安全施工措施的资料。依法批准开工报告的建设工程，建设单位应当自开工报告批准之日起15日内，将保证安全施工的措施报送建设工程所在地的县级以上地方人民政府建设行政主管部门或者其他有关部门备案。第四十二条规定，建设行政主管部门在审核发放施工许可证时，应当对建设工程是否有安全施工措施进行审查，对没有安全施工措施的，不得颁发施工许可证。</w:t>
            </w:r>
          </w:p>
        </w:tc>
        <w:tc>
          <w:tcPr>
            <w:tcW w:w="992" w:type="dxa"/>
            <w:vAlign w:val="center"/>
          </w:tcPr>
          <w:p>
            <w:pPr>
              <w:spacing w:after="0" w:line="220" w:lineRule="atLeast"/>
              <w:rPr>
                <w:rFonts w:hint="eastAsia" w:ascii="宋体" w:hAnsi="宋体" w:cs="宋体"/>
              </w:rPr>
            </w:pPr>
            <w:r>
              <w:rPr>
                <w:rFonts w:hint="eastAsia" w:ascii="宋体" w:hAnsi="宋体" w:cs="宋体"/>
              </w:rPr>
              <w:t>行政许可</w:t>
            </w:r>
          </w:p>
        </w:tc>
        <w:tc>
          <w:tcPr>
            <w:tcW w:w="803" w:type="dxa"/>
            <w:vAlign w:val="center"/>
          </w:tcPr>
          <w:p>
            <w:pPr>
              <w:spacing w:after="0" w:line="220" w:lineRule="atLeast"/>
              <w:rPr>
                <w:rFonts w:hint="eastAsia" w:ascii="宋体" w:hAnsi="宋体" w:cs="宋体"/>
              </w:rPr>
            </w:pPr>
            <w:r>
              <w:rPr>
                <w:rFonts w:hint="eastAsia" w:ascii="宋体" w:hAnsi="宋体" w:cs="宋体"/>
                <w:lang w:eastAsia="zh-CN"/>
              </w:rPr>
              <w:t>政策法规股</w:t>
            </w:r>
          </w:p>
        </w:tc>
        <w:tc>
          <w:tcPr>
            <w:tcW w:w="1109" w:type="dxa"/>
            <w:vAlign w:val="center"/>
          </w:tcPr>
          <w:p>
            <w:pPr>
              <w:spacing w:line="220" w:lineRule="atLeast"/>
              <w:jc w:val="center"/>
              <w:rPr>
                <w:rFonts w:hint="eastAsia" w:ascii="宋体" w:hAnsi="宋体" w:eastAsia="微软雅黑" w:cs="宋体"/>
                <w:sz w:val="20"/>
                <w:szCs w:val="20"/>
                <w:lang w:val="en-US" w:eastAsia="zh-CN" w:bidi="ar-SA"/>
              </w:rPr>
            </w:pPr>
            <w:r>
              <w:rPr>
                <w:rFonts w:hint="eastAsia" w:ascii="宋体" w:hAnsi="宋体" w:cs="宋体"/>
                <w:sz w:val="20"/>
                <w:szCs w:val="20"/>
                <w:lang w:eastAsia="zh-CN"/>
              </w:rPr>
              <w:t>拟调入</w:t>
            </w:r>
          </w:p>
        </w:tc>
        <w:tc>
          <w:tcPr>
            <w:tcW w:w="2251" w:type="dxa"/>
            <w:vAlign w:val="center"/>
          </w:tcPr>
          <w:p>
            <w:pPr>
              <w:spacing w:after="0" w:line="220" w:lineRule="atLeast"/>
              <w:rPr>
                <w:rFonts w:hint="eastAsia" w:ascii="宋体" w:hAnsi="宋体" w:cs="宋体"/>
              </w:rPr>
            </w:pPr>
            <w:r>
              <w:rPr>
                <w:rFonts w:hint="eastAsia" w:ascii="宋体" w:hAnsi="宋体" w:cs="宋体"/>
              </w:rPr>
              <w:t>此次机构改革职能划转，划入来源为区建设交通局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534" w:type="dxa"/>
            <w:vAlign w:val="center"/>
          </w:tcPr>
          <w:p>
            <w:pPr>
              <w:spacing w:after="0" w:line="220" w:lineRule="atLeast"/>
              <w:rPr>
                <w:rFonts w:hint="eastAsia" w:ascii="宋体" w:hAnsi="宋体" w:cs="宋体"/>
              </w:rPr>
            </w:pPr>
            <w:r>
              <w:rPr>
                <w:rFonts w:hint="eastAsia" w:ascii="宋体" w:hAnsi="宋体" w:cs="宋体"/>
              </w:rPr>
              <w:t>7</w:t>
            </w:r>
          </w:p>
        </w:tc>
        <w:tc>
          <w:tcPr>
            <w:tcW w:w="2187" w:type="dxa"/>
            <w:vAlign w:val="center"/>
          </w:tcPr>
          <w:p>
            <w:pPr>
              <w:spacing w:after="0" w:line="220" w:lineRule="atLeast"/>
              <w:rPr>
                <w:rFonts w:hint="eastAsia" w:ascii="宋体" w:hAnsi="宋体" w:cs="宋体"/>
              </w:rPr>
            </w:pPr>
            <w:r>
              <w:rPr>
                <w:rFonts w:hint="eastAsia" w:ascii="宋体" w:hAnsi="宋体" w:cs="宋体"/>
              </w:rPr>
              <w:t>城市道路两侧和公共场地临时堆放物料，搭建临时建筑物、构筑物等设施许可</w:t>
            </w:r>
          </w:p>
        </w:tc>
        <w:tc>
          <w:tcPr>
            <w:tcW w:w="6742" w:type="dxa"/>
          </w:tcPr>
          <w:p>
            <w:pPr>
              <w:spacing w:after="0" w:line="220" w:lineRule="atLeast"/>
              <w:rPr>
                <w:rFonts w:hint="eastAsia" w:ascii="宋体" w:hAnsi="宋体" w:cs="宋体"/>
              </w:rPr>
            </w:pPr>
            <w:r>
              <w:rPr>
                <w:rFonts w:hint="eastAsia" w:ascii="宋体" w:hAnsi="宋体" w:cs="宋体"/>
              </w:rPr>
              <w:t>【行政法规】《城市市容和环境卫生管理条例》（1992年6月28日国务院令第101号，2011年1月1日予以修改）</w:t>
            </w:r>
            <w:r>
              <w:rPr>
                <w:rFonts w:hint="eastAsia" w:ascii="宋体" w:hAnsi="宋体" w:cs="宋体"/>
              </w:rPr>
              <w:br w:type="textWrapping"/>
            </w:r>
            <w:r>
              <w:rPr>
                <w:rFonts w:hint="eastAsia" w:ascii="宋体" w:hAnsi="宋体" w:cs="宋体"/>
              </w:rPr>
              <w:t>第十四条 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p>
        </w:tc>
        <w:tc>
          <w:tcPr>
            <w:tcW w:w="992" w:type="dxa"/>
            <w:vAlign w:val="center"/>
          </w:tcPr>
          <w:p>
            <w:pPr>
              <w:spacing w:after="0" w:line="220" w:lineRule="atLeast"/>
              <w:rPr>
                <w:rFonts w:hint="eastAsia" w:ascii="宋体" w:hAnsi="宋体" w:cs="宋体"/>
              </w:rPr>
            </w:pPr>
            <w:r>
              <w:rPr>
                <w:rFonts w:hint="eastAsia" w:ascii="宋体" w:hAnsi="宋体" w:cs="宋体"/>
              </w:rPr>
              <w:t>行政许可</w:t>
            </w:r>
          </w:p>
        </w:tc>
        <w:tc>
          <w:tcPr>
            <w:tcW w:w="803" w:type="dxa"/>
            <w:vAlign w:val="center"/>
          </w:tcPr>
          <w:p>
            <w:pPr>
              <w:spacing w:after="0" w:line="220" w:lineRule="atLeast"/>
              <w:rPr>
                <w:rFonts w:hint="eastAsia" w:ascii="宋体" w:hAnsi="宋体" w:cs="宋体"/>
              </w:rPr>
            </w:pPr>
            <w:r>
              <w:rPr>
                <w:rFonts w:hint="eastAsia" w:ascii="宋体" w:hAnsi="宋体" w:cs="宋体"/>
                <w:lang w:eastAsia="zh-CN"/>
              </w:rPr>
              <w:t>政策法规股</w:t>
            </w:r>
          </w:p>
        </w:tc>
        <w:tc>
          <w:tcPr>
            <w:tcW w:w="1109" w:type="dxa"/>
            <w:vAlign w:val="center"/>
          </w:tcPr>
          <w:p>
            <w:pPr>
              <w:spacing w:line="220" w:lineRule="atLeast"/>
              <w:jc w:val="center"/>
              <w:rPr>
                <w:rFonts w:hint="eastAsia" w:ascii="宋体" w:hAnsi="宋体" w:cs="宋体"/>
                <w:sz w:val="20"/>
                <w:szCs w:val="20"/>
                <w:lang w:eastAsia="zh-CN"/>
              </w:rPr>
            </w:pPr>
          </w:p>
          <w:p>
            <w:pPr>
              <w:spacing w:line="220" w:lineRule="atLeast"/>
              <w:jc w:val="both"/>
              <w:rPr>
                <w:rFonts w:hint="eastAsia" w:ascii="宋体" w:hAnsi="宋体" w:eastAsia="微软雅黑" w:cs="宋体"/>
                <w:sz w:val="20"/>
                <w:szCs w:val="20"/>
                <w:lang w:val="en-US" w:eastAsia="zh-CN" w:bidi="ar-SA"/>
              </w:rPr>
            </w:pPr>
            <w:r>
              <w:rPr>
                <w:rFonts w:hint="eastAsia" w:ascii="宋体" w:hAnsi="宋体" w:cs="宋体"/>
                <w:sz w:val="20"/>
                <w:szCs w:val="20"/>
                <w:lang w:eastAsia="zh-CN"/>
              </w:rPr>
              <w:t>拟调入</w:t>
            </w:r>
          </w:p>
        </w:tc>
        <w:tc>
          <w:tcPr>
            <w:tcW w:w="2251" w:type="dxa"/>
          </w:tcPr>
          <w:p>
            <w:pPr>
              <w:spacing w:after="0" w:line="220" w:lineRule="atLeast"/>
              <w:rPr>
                <w:rFonts w:hint="eastAsia" w:ascii="宋体" w:hAnsi="宋体" w:cs="宋体"/>
              </w:rPr>
            </w:pPr>
            <w:r>
              <w:rPr>
                <w:rFonts w:hint="eastAsia" w:ascii="宋体" w:hAnsi="宋体" w:cs="宋体"/>
              </w:rPr>
              <w:t>此次机构改革职能划转，划入来源为区建设交通局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trPr>
        <w:tc>
          <w:tcPr>
            <w:tcW w:w="534" w:type="dxa"/>
            <w:vAlign w:val="center"/>
          </w:tcPr>
          <w:p>
            <w:pPr>
              <w:spacing w:after="0" w:line="220" w:lineRule="atLeast"/>
              <w:rPr>
                <w:rFonts w:hint="eastAsia" w:ascii="宋体" w:hAnsi="宋体" w:cs="宋体"/>
              </w:rPr>
            </w:pPr>
            <w:r>
              <w:rPr>
                <w:rFonts w:hint="eastAsia" w:ascii="宋体" w:hAnsi="宋体" w:cs="宋体"/>
              </w:rPr>
              <w:t>8</w:t>
            </w:r>
          </w:p>
        </w:tc>
        <w:tc>
          <w:tcPr>
            <w:tcW w:w="2187" w:type="dxa"/>
            <w:vAlign w:val="center"/>
          </w:tcPr>
          <w:p>
            <w:pPr>
              <w:spacing w:after="0" w:line="220" w:lineRule="atLeast"/>
              <w:rPr>
                <w:rFonts w:hint="eastAsia" w:ascii="宋体" w:hAnsi="宋体" w:cs="宋体"/>
              </w:rPr>
            </w:pPr>
            <w:r>
              <w:rPr>
                <w:rFonts w:hint="eastAsia" w:ascii="宋体" w:hAnsi="宋体" w:cs="宋体"/>
              </w:rPr>
              <w:t>瓶装燃气供应站经营许可（城区）</w:t>
            </w:r>
          </w:p>
        </w:tc>
        <w:tc>
          <w:tcPr>
            <w:tcW w:w="6742" w:type="dxa"/>
          </w:tcPr>
          <w:p>
            <w:pPr>
              <w:spacing w:after="0" w:line="220" w:lineRule="atLeast"/>
              <w:rPr>
                <w:rFonts w:hint="eastAsia" w:ascii="宋体" w:hAnsi="宋体" w:cs="宋体"/>
              </w:rPr>
            </w:pPr>
            <w:r>
              <w:rPr>
                <w:rFonts w:hint="eastAsia" w:ascii="宋体" w:hAnsi="宋体" w:cs="宋体"/>
              </w:rPr>
              <w:t>【行政法规】《城镇燃气管理条例》（2010年11月19日国务院令第583号）</w:t>
            </w:r>
            <w:r>
              <w:rPr>
                <w:rFonts w:hint="eastAsia" w:ascii="宋体" w:hAnsi="宋体" w:cs="宋体"/>
              </w:rPr>
              <w:br w:type="textWrapping"/>
            </w:r>
            <w:r>
              <w:rPr>
                <w:rFonts w:hint="eastAsia" w:ascii="宋体" w:hAnsi="宋体" w:cs="宋体"/>
              </w:rPr>
              <w:t>第十五条 国家对燃气经营实行许可证制度。从事燃气经营活动的企业，应当具备下列条件：（一）符合燃气发展规划要求；（二）有符合国家标准的燃气气源和燃气设施；（三）有固定的经营场所、完善的安全管理制度和健全的经营方案；（四）企业的主要负责人、安全生产管理人员以及运行、维护和抢修人员经专业培训并考核合格；（五）法律、法规规定的其他条件。</w:t>
            </w:r>
            <w:r>
              <w:rPr>
                <w:rFonts w:hint="eastAsia" w:ascii="宋体" w:hAnsi="宋体" w:cs="宋体"/>
              </w:rPr>
              <w:br w:type="textWrapping"/>
            </w:r>
            <w:r>
              <w:rPr>
                <w:rFonts w:hint="eastAsia" w:ascii="宋体" w:hAnsi="宋体" w:cs="宋体"/>
              </w:rPr>
              <w:t>符合前款规定条件的，由县级以上地方人民政府燃气管理部门核发燃气经营许可证。</w:t>
            </w:r>
            <w:r>
              <w:rPr>
                <w:rFonts w:hint="eastAsia" w:ascii="宋体" w:hAnsi="宋体" w:cs="宋体"/>
              </w:rPr>
              <w:br w:type="textWrapping"/>
            </w:r>
            <w:r>
              <w:rPr>
                <w:rFonts w:hint="eastAsia" w:ascii="宋体" w:hAnsi="宋体" w:cs="宋体"/>
              </w:rPr>
              <w:t>申请人凭燃气经营许可证到工商行政管理部门依法办理登记手续。</w:t>
            </w:r>
          </w:p>
        </w:tc>
        <w:tc>
          <w:tcPr>
            <w:tcW w:w="992" w:type="dxa"/>
            <w:vAlign w:val="center"/>
          </w:tcPr>
          <w:p>
            <w:pPr>
              <w:spacing w:after="0" w:line="220" w:lineRule="atLeast"/>
              <w:rPr>
                <w:rFonts w:hint="eastAsia" w:ascii="宋体" w:hAnsi="宋体" w:cs="宋体"/>
              </w:rPr>
            </w:pPr>
            <w:r>
              <w:rPr>
                <w:rFonts w:hint="eastAsia" w:ascii="宋体" w:hAnsi="宋体" w:cs="宋体"/>
              </w:rPr>
              <w:t>行政许可</w:t>
            </w:r>
          </w:p>
        </w:tc>
        <w:tc>
          <w:tcPr>
            <w:tcW w:w="803" w:type="dxa"/>
            <w:vAlign w:val="center"/>
          </w:tcPr>
          <w:p>
            <w:pPr>
              <w:spacing w:after="0" w:line="220" w:lineRule="atLeast"/>
              <w:rPr>
                <w:rFonts w:hint="eastAsia" w:ascii="宋体" w:hAnsi="宋体" w:cs="宋体"/>
              </w:rPr>
            </w:pPr>
            <w:r>
              <w:rPr>
                <w:rFonts w:hint="eastAsia" w:ascii="宋体" w:hAnsi="宋体" w:cs="宋体"/>
                <w:lang w:eastAsia="zh-CN"/>
              </w:rPr>
              <w:t>政策法规股</w:t>
            </w:r>
          </w:p>
        </w:tc>
        <w:tc>
          <w:tcPr>
            <w:tcW w:w="1109" w:type="dxa"/>
            <w:vAlign w:val="center"/>
          </w:tcPr>
          <w:p>
            <w:pPr>
              <w:spacing w:line="220" w:lineRule="atLeast"/>
              <w:jc w:val="center"/>
              <w:rPr>
                <w:rFonts w:hint="eastAsia" w:ascii="宋体" w:hAnsi="宋体" w:eastAsia="微软雅黑" w:cs="宋体"/>
                <w:sz w:val="20"/>
                <w:szCs w:val="20"/>
                <w:lang w:val="en-US" w:eastAsia="zh-CN" w:bidi="ar-SA"/>
              </w:rPr>
            </w:pPr>
            <w:r>
              <w:rPr>
                <w:rFonts w:hint="eastAsia" w:ascii="宋体" w:hAnsi="宋体" w:cs="宋体"/>
                <w:sz w:val="20"/>
                <w:szCs w:val="20"/>
                <w:lang w:eastAsia="zh-CN"/>
              </w:rPr>
              <w:t>拟调入</w:t>
            </w:r>
          </w:p>
        </w:tc>
        <w:tc>
          <w:tcPr>
            <w:tcW w:w="2251" w:type="dxa"/>
          </w:tcPr>
          <w:p>
            <w:pPr>
              <w:spacing w:after="0" w:line="220" w:lineRule="atLeast"/>
              <w:rPr>
                <w:rFonts w:hint="eastAsia" w:ascii="宋体" w:hAnsi="宋体" w:cs="宋体"/>
              </w:rPr>
            </w:pPr>
            <w:r>
              <w:rPr>
                <w:rFonts w:hint="eastAsia" w:ascii="宋体" w:hAnsi="宋体" w:cs="宋体"/>
              </w:rPr>
              <w:t>此次机构改革职能划转，划入来源为区建设交通局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534" w:type="dxa"/>
            <w:vAlign w:val="center"/>
          </w:tcPr>
          <w:p>
            <w:pPr>
              <w:spacing w:after="0" w:line="220" w:lineRule="atLeast"/>
              <w:rPr>
                <w:rFonts w:hint="eastAsia" w:ascii="宋体" w:hAnsi="宋体" w:cs="宋体"/>
              </w:rPr>
            </w:pPr>
            <w:r>
              <w:rPr>
                <w:rFonts w:hint="eastAsia" w:ascii="宋体" w:hAnsi="宋体" w:cs="宋体"/>
              </w:rPr>
              <w:t>9</w:t>
            </w:r>
          </w:p>
        </w:tc>
        <w:tc>
          <w:tcPr>
            <w:tcW w:w="2187" w:type="dxa"/>
            <w:vAlign w:val="center"/>
          </w:tcPr>
          <w:p>
            <w:pPr>
              <w:spacing w:after="0" w:line="220" w:lineRule="atLeast"/>
              <w:rPr>
                <w:rFonts w:hint="eastAsia" w:ascii="宋体" w:hAnsi="宋体" w:cs="宋体"/>
              </w:rPr>
            </w:pPr>
            <w:r>
              <w:rPr>
                <w:rFonts w:hint="eastAsia" w:ascii="宋体" w:hAnsi="宋体" w:cs="宋体"/>
              </w:rPr>
              <w:t>城镇燃气设施改动许可</w:t>
            </w:r>
          </w:p>
          <w:p>
            <w:pPr>
              <w:spacing w:after="0" w:line="220" w:lineRule="atLeast"/>
              <w:rPr>
                <w:rFonts w:hint="eastAsia" w:ascii="宋体" w:hAnsi="宋体" w:cs="宋体"/>
              </w:rPr>
            </w:pPr>
          </w:p>
        </w:tc>
        <w:tc>
          <w:tcPr>
            <w:tcW w:w="6742" w:type="dxa"/>
            <w:vAlign w:val="center"/>
          </w:tcPr>
          <w:p>
            <w:pPr>
              <w:spacing w:after="0" w:line="220" w:lineRule="atLeast"/>
              <w:rPr>
                <w:rFonts w:hint="eastAsia" w:ascii="宋体" w:hAnsi="宋体" w:cs="宋体"/>
              </w:rPr>
            </w:pPr>
            <w:r>
              <w:rPr>
                <w:rFonts w:hint="eastAsia" w:ascii="宋体" w:hAnsi="宋体" w:cs="宋体"/>
              </w:rPr>
              <w:t>【行政法规】《城镇燃气管理条例》（2010年11月19日国务院令第583号）第三十八条 燃气经营者改动市政燃气设施，应当制定改动方案，报县级以上地方政府燃气管理部门批准。改动方案应当符合燃气发展规划，明确安全施工要求，有安全防护和保障正常用气的措施。</w:t>
            </w:r>
            <w:r>
              <w:rPr>
                <w:rFonts w:hint="eastAsia" w:ascii="宋体" w:hAnsi="宋体" w:cs="宋体"/>
              </w:rPr>
              <w:br w:type="textWrapping"/>
            </w:r>
            <w:r>
              <w:rPr>
                <w:rFonts w:hint="eastAsia" w:ascii="宋体" w:hAnsi="宋体" w:cs="宋体"/>
              </w:rPr>
              <w:t>【行政法规】《国务院关于第六批取消和调整行政审批项目的决定》（国发〔2012〕52号）</w:t>
            </w:r>
            <w:r>
              <w:rPr>
                <w:rFonts w:hint="eastAsia" w:ascii="宋体" w:hAnsi="宋体" w:cs="宋体"/>
              </w:rPr>
              <w:br w:type="textWrapping"/>
            </w:r>
            <w:r>
              <w:rPr>
                <w:rFonts w:hint="eastAsia" w:ascii="宋体" w:hAnsi="宋体" w:cs="宋体"/>
              </w:rPr>
              <w:t>附件2（一）第21项 燃气经营者改动市政燃气设施审批，下放至设区的市级、县级人民政府燃气管理部门。</w:t>
            </w:r>
          </w:p>
        </w:tc>
        <w:tc>
          <w:tcPr>
            <w:tcW w:w="992" w:type="dxa"/>
            <w:vAlign w:val="center"/>
          </w:tcPr>
          <w:p>
            <w:pPr>
              <w:spacing w:after="0" w:line="220" w:lineRule="atLeast"/>
              <w:rPr>
                <w:rFonts w:hint="eastAsia" w:ascii="宋体" w:hAnsi="宋体" w:cs="宋体"/>
              </w:rPr>
            </w:pPr>
            <w:r>
              <w:rPr>
                <w:rFonts w:hint="eastAsia" w:ascii="宋体" w:hAnsi="宋体" w:cs="宋体"/>
              </w:rPr>
              <w:t>行政许可</w:t>
            </w:r>
          </w:p>
        </w:tc>
        <w:tc>
          <w:tcPr>
            <w:tcW w:w="803" w:type="dxa"/>
            <w:vAlign w:val="center"/>
          </w:tcPr>
          <w:p>
            <w:pPr>
              <w:spacing w:after="0" w:line="220" w:lineRule="atLeast"/>
              <w:rPr>
                <w:rFonts w:hint="eastAsia" w:ascii="宋体" w:hAnsi="宋体" w:cs="宋体"/>
              </w:rPr>
            </w:pPr>
            <w:r>
              <w:rPr>
                <w:rFonts w:hint="eastAsia" w:ascii="宋体" w:hAnsi="宋体" w:cs="宋体"/>
                <w:lang w:eastAsia="zh-CN"/>
              </w:rPr>
              <w:t>政策法规股</w:t>
            </w:r>
          </w:p>
        </w:tc>
        <w:tc>
          <w:tcPr>
            <w:tcW w:w="1109" w:type="dxa"/>
            <w:vAlign w:val="center"/>
          </w:tcPr>
          <w:p>
            <w:pPr>
              <w:spacing w:line="220" w:lineRule="atLeast"/>
              <w:jc w:val="center"/>
              <w:rPr>
                <w:rFonts w:hint="eastAsia" w:ascii="宋体" w:hAnsi="宋体" w:eastAsia="微软雅黑" w:cs="宋体"/>
                <w:sz w:val="20"/>
                <w:szCs w:val="20"/>
                <w:lang w:val="en-US" w:eastAsia="zh-CN" w:bidi="ar-SA"/>
              </w:rPr>
            </w:pPr>
            <w:r>
              <w:rPr>
                <w:rFonts w:hint="eastAsia" w:ascii="宋体" w:hAnsi="宋体" w:cs="宋体"/>
                <w:sz w:val="20"/>
                <w:szCs w:val="20"/>
                <w:lang w:eastAsia="zh-CN"/>
              </w:rPr>
              <w:t>拟调入</w:t>
            </w:r>
          </w:p>
        </w:tc>
        <w:tc>
          <w:tcPr>
            <w:tcW w:w="2251" w:type="dxa"/>
          </w:tcPr>
          <w:p>
            <w:pPr>
              <w:spacing w:after="0" w:line="220" w:lineRule="atLeast"/>
              <w:rPr>
                <w:rFonts w:hint="eastAsia" w:ascii="宋体" w:hAnsi="宋体" w:cs="宋体"/>
              </w:rPr>
            </w:pPr>
            <w:r>
              <w:rPr>
                <w:rFonts w:hint="eastAsia" w:ascii="宋体" w:hAnsi="宋体" w:cs="宋体"/>
              </w:rPr>
              <w:t>此次机构改革职能划转，划入来源为区建设交通局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trPr>
        <w:tc>
          <w:tcPr>
            <w:tcW w:w="534" w:type="dxa"/>
            <w:vAlign w:val="center"/>
          </w:tcPr>
          <w:p>
            <w:pPr>
              <w:spacing w:after="0" w:line="220" w:lineRule="atLeast"/>
              <w:rPr>
                <w:rFonts w:hint="eastAsia" w:ascii="宋体" w:hAnsi="宋体" w:cs="宋体"/>
              </w:rPr>
            </w:pPr>
            <w:r>
              <w:rPr>
                <w:rFonts w:hint="eastAsia" w:ascii="宋体" w:hAnsi="宋体" w:cs="宋体"/>
              </w:rPr>
              <w:t>10</w:t>
            </w:r>
          </w:p>
        </w:tc>
        <w:tc>
          <w:tcPr>
            <w:tcW w:w="2187" w:type="dxa"/>
            <w:vAlign w:val="center"/>
          </w:tcPr>
          <w:p>
            <w:pPr>
              <w:spacing w:after="0" w:line="220" w:lineRule="atLeast"/>
              <w:rPr>
                <w:rFonts w:hint="eastAsia" w:ascii="宋体" w:hAnsi="宋体" w:cs="宋体"/>
              </w:rPr>
            </w:pPr>
            <w:r>
              <w:rPr>
                <w:rFonts w:hint="eastAsia" w:ascii="宋体" w:hAnsi="宋体" w:cs="宋体"/>
              </w:rPr>
              <w:t>建筑垃圾排放许可</w:t>
            </w:r>
          </w:p>
          <w:p>
            <w:pPr>
              <w:spacing w:after="0" w:line="220" w:lineRule="atLeast"/>
              <w:rPr>
                <w:rFonts w:hint="eastAsia" w:ascii="宋体" w:hAnsi="宋体" w:cs="宋体"/>
              </w:rPr>
            </w:pPr>
          </w:p>
        </w:tc>
        <w:tc>
          <w:tcPr>
            <w:tcW w:w="6742" w:type="dxa"/>
            <w:vAlign w:val="center"/>
          </w:tcPr>
          <w:p>
            <w:pPr>
              <w:spacing w:after="0" w:line="220" w:lineRule="atLeast"/>
              <w:rPr>
                <w:rFonts w:hint="eastAsia" w:ascii="宋体" w:hAnsi="宋体" w:cs="宋体"/>
              </w:rPr>
            </w:pPr>
            <w:r>
              <w:rPr>
                <w:rFonts w:hint="eastAsia" w:ascii="宋体" w:hAnsi="宋体" w:cs="宋体"/>
              </w:rPr>
              <w:t>《城市建筑垃圾管理规定》(2005年)第七条 处置建筑垃圾的单位，应当向城市人民政府市容环境卫生主管部门提出申请，获得城市建筑垃圾处置核准后，方可处置。 城市人民政府市容环境卫生主管部门应当在接到申请后的20日内作出是否核准的决定。予以核准的，颁发核准文件；不予核准的，应当告知申请人，并说明理由。</w:t>
            </w:r>
          </w:p>
        </w:tc>
        <w:tc>
          <w:tcPr>
            <w:tcW w:w="992" w:type="dxa"/>
            <w:vAlign w:val="center"/>
          </w:tcPr>
          <w:p>
            <w:pPr>
              <w:spacing w:after="0" w:line="220" w:lineRule="atLeast"/>
              <w:rPr>
                <w:rFonts w:hint="eastAsia" w:ascii="宋体" w:hAnsi="宋体" w:cs="宋体"/>
              </w:rPr>
            </w:pPr>
            <w:r>
              <w:rPr>
                <w:rFonts w:hint="eastAsia" w:ascii="宋体" w:hAnsi="宋体" w:cs="宋体"/>
              </w:rPr>
              <w:t>行政许可</w:t>
            </w:r>
          </w:p>
        </w:tc>
        <w:tc>
          <w:tcPr>
            <w:tcW w:w="803" w:type="dxa"/>
            <w:vAlign w:val="center"/>
          </w:tcPr>
          <w:p>
            <w:pPr>
              <w:spacing w:after="0" w:line="220" w:lineRule="atLeast"/>
              <w:rPr>
                <w:rFonts w:hint="eastAsia" w:ascii="宋体" w:hAnsi="宋体" w:cs="宋体"/>
              </w:rPr>
            </w:pPr>
            <w:r>
              <w:rPr>
                <w:rFonts w:hint="eastAsia" w:ascii="宋体" w:hAnsi="宋体" w:cs="宋体"/>
                <w:lang w:eastAsia="zh-CN"/>
              </w:rPr>
              <w:t>政策法规股</w:t>
            </w:r>
          </w:p>
        </w:tc>
        <w:tc>
          <w:tcPr>
            <w:tcW w:w="1109" w:type="dxa"/>
            <w:vAlign w:val="center"/>
          </w:tcPr>
          <w:p>
            <w:pPr>
              <w:spacing w:line="220" w:lineRule="atLeast"/>
              <w:jc w:val="center"/>
              <w:rPr>
                <w:rFonts w:hint="eastAsia" w:ascii="宋体" w:hAnsi="宋体" w:eastAsia="微软雅黑" w:cs="宋体"/>
                <w:sz w:val="20"/>
                <w:szCs w:val="20"/>
                <w:lang w:val="en-US" w:eastAsia="zh-CN" w:bidi="ar-SA"/>
              </w:rPr>
            </w:pPr>
            <w:r>
              <w:rPr>
                <w:rFonts w:hint="eastAsia" w:ascii="宋体" w:hAnsi="宋体" w:cs="宋体"/>
                <w:sz w:val="20"/>
                <w:szCs w:val="20"/>
                <w:lang w:eastAsia="zh-CN"/>
              </w:rPr>
              <w:t>拟调入</w:t>
            </w:r>
          </w:p>
        </w:tc>
        <w:tc>
          <w:tcPr>
            <w:tcW w:w="2251" w:type="dxa"/>
          </w:tcPr>
          <w:p>
            <w:pPr>
              <w:spacing w:after="0" w:line="220" w:lineRule="atLeast"/>
              <w:rPr>
                <w:rFonts w:hint="eastAsia" w:ascii="宋体" w:hAnsi="宋体" w:cs="宋体"/>
              </w:rPr>
            </w:pPr>
            <w:r>
              <w:rPr>
                <w:rFonts w:hint="eastAsia" w:ascii="宋体" w:hAnsi="宋体" w:cs="宋体"/>
              </w:rPr>
              <w:t>此次机构改革职能划转，划入来源为区建设交通局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7" w:hRule="atLeast"/>
        </w:trPr>
        <w:tc>
          <w:tcPr>
            <w:tcW w:w="534" w:type="dxa"/>
            <w:vAlign w:val="center"/>
          </w:tcPr>
          <w:p>
            <w:pPr>
              <w:spacing w:after="0" w:line="220" w:lineRule="atLeast"/>
              <w:rPr>
                <w:rFonts w:hint="eastAsia" w:ascii="宋体" w:hAnsi="宋体" w:cs="宋体"/>
              </w:rPr>
            </w:pPr>
            <w:r>
              <w:rPr>
                <w:rFonts w:hint="eastAsia" w:ascii="宋体" w:hAnsi="宋体" w:cs="宋体"/>
              </w:rPr>
              <w:t>11</w:t>
            </w:r>
          </w:p>
        </w:tc>
        <w:tc>
          <w:tcPr>
            <w:tcW w:w="2187" w:type="dxa"/>
            <w:vAlign w:val="center"/>
          </w:tcPr>
          <w:p>
            <w:pPr>
              <w:spacing w:after="0" w:line="220" w:lineRule="atLeast"/>
              <w:rPr>
                <w:rFonts w:hint="eastAsia" w:ascii="宋体" w:hAnsi="宋体" w:cs="宋体"/>
              </w:rPr>
            </w:pPr>
            <w:r>
              <w:rPr>
                <w:rFonts w:hint="eastAsia" w:ascii="宋体" w:hAnsi="宋体" w:cs="宋体"/>
              </w:rPr>
              <w:t>建筑垃圾清运许可</w:t>
            </w:r>
          </w:p>
        </w:tc>
        <w:tc>
          <w:tcPr>
            <w:tcW w:w="6742" w:type="dxa"/>
            <w:vAlign w:val="center"/>
          </w:tcPr>
          <w:p>
            <w:pPr>
              <w:spacing w:after="0" w:line="220" w:lineRule="atLeast"/>
              <w:rPr>
                <w:rFonts w:hint="eastAsia" w:ascii="宋体" w:hAnsi="宋体" w:cs="宋体"/>
              </w:rPr>
            </w:pPr>
            <w:r>
              <w:rPr>
                <w:rFonts w:hint="eastAsia" w:ascii="宋体" w:hAnsi="宋体" w:cs="宋体"/>
              </w:rPr>
              <w:t>根据《中华人民共和国合同法》、《中华人民共和国招标投标法》、《中华人民共和国建设部126号令》、《中华人民共和国建设部139号令》加强对建筑垃圾清运和处理的管理,保障按照有关法律、法规标准和规范的要求实施建筑垃圾清运和处理,维护建筑垃圾处理企业的合法权益。</w:t>
            </w:r>
          </w:p>
        </w:tc>
        <w:tc>
          <w:tcPr>
            <w:tcW w:w="992" w:type="dxa"/>
            <w:vAlign w:val="center"/>
          </w:tcPr>
          <w:p>
            <w:pPr>
              <w:spacing w:after="0" w:line="220" w:lineRule="atLeast"/>
              <w:rPr>
                <w:rFonts w:hint="eastAsia" w:ascii="宋体" w:hAnsi="宋体" w:cs="宋体"/>
              </w:rPr>
            </w:pPr>
            <w:r>
              <w:rPr>
                <w:rFonts w:hint="eastAsia" w:ascii="宋体" w:hAnsi="宋体" w:cs="宋体"/>
              </w:rPr>
              <w:t>行政许可</w:t>
            </w:r>
          </w:p>
        </w:tc>
        <w:tc>
          <w:tcPr>
            <w:tcW w:w="803" w:type="dxa"/>
            <w:vAlign w:val="center"/>
          </w:tcPr>
          <w:p>
            <w:pPr>
              <w:spacing w:after="0" w:line="220" w:lineRule="atLeast"/>
              <w:rPr>
                <w:rFonts w:hint="eastAsia" w:ascii="宋体" w:hAnsi="宋体" w:cs="宋体"/>
              </w:rPr>
            </w:pPr>
            <w:r>
              <w:rPr>
                <w:rFonts w:hint="eastAsia" w:ascii="宋体" w:hAnsi="宋体" w:cs="宋体"/>
                <w:lang w:eastAsia="zh-CN"/>
              </w:rPr>
              <w:t>政策法规股</w:t>
            </w:r>
          </w:p>
        </w:tc>
        <w:tc>
          <w:tcPr>
            <w:tcW w:w="1109" w:type="dxa"/>
            <w:vAlign w:val="center"/>
          </w:tcPr>
          <w:p>
            <w:pPr>
              <w:spacing w:line="220" w:lineRule="atLeast"/>
              <w:jc w:val="center"/>
              <w:rPr>
                <w:rFonts w:hint="eastAsia" w:ascii="宋体" w:hAnsi="宋体" w:cs="宋体"/>
                <w:sz w:val="20"/>
                <w:szCs w:val="20"/>
                <w:lang w:eastAsia="zh-CN"/>
              </w:rPr>
            </w:pPr>
          </w:p>
          <w:p>
            <w:pPr>
              <w:spacing w:line="220" w:lineRule="atLeast"/>
              <w:jc w:val="both"/>
              <w:rPr>
                <w:rFonts w:hint="eastAsia" w:ascii="宋体" w:hAnsi="宋体" w:eastAsia="微软雅黑" w:cs="宋体"/>
                <w:sz w:val="20"/>
                <w:szCs w:val="20"/>
                <w:lang w:val="en-US" w:eastAsia="zh-CN" w:bidi="ar-SA"/>
              </w:rPr>
            </w:pPr>
            <w:r>
              <w:rPr>
                <w:rFonts w:hint="eastAsia" w:ascii="宋体" w:hAnsi="宋体" w:cs="宋体"/>
                <w:sz w:val="20"/>
                <w:szCs w:val="20"/>
                <w:lang w:eastAsia="zh-CN"/>
              </w:rPr>
              <w:t>拟调入</w:t>
            </w:r>
          </w:p>
        </w:tc>
        <w:tc>
          <w:tcPr>
            <w:tcW w:w="2251" w:type="dxa"/>
          </w:tcPr>
          <w:p>
            <w:pPr>
              <w:spacing w:after="0" w:line="220" w:lineRule="atLeast"/>
              <w:rPr>
                <w:rFonts w:hint="eastAsia" w:ascii="宋体" w:hAnsi="宋体" w:cs="宋体"/>
              </w:rPr>
            </w:pPr>
            <w:r>
              <w:rPr>
                <w:rFonts w:hint="eastAsia" w:ascii="宋体" w:hAnsi="宋体" w:cs="宋体"/>
              </w:rPr>
              <w:t>此次机构改革职能划转，划入来源为区建设交通局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1" w:hRule="atLeast"/>
        </w:trPr>
        <w:tc>
          <w:tcPr>
            <w:tcW w:w="534" w:type="dxa"/>
            <w:vAlign w:val="center"/>
          </w:tcPr>
          <w:p>
            <w:pPr>
              <w:spacing w:after="0" w:line="220" w:lineRule="atLeast"/>
              <w:rPr>
                <w:rFonts w:hint="eastAsia" w:ascii="宋体" w:hAnsi="宋体" w:cs="宋体"/>
              </w:rPr>
            </w:pPr>
            <w:r>
              <w:rPr>
                <w:rFonts w:hint="eastAsia" w:ascii="宋体" w:hAnsi="宋体" w:cs="宋体"/>
              </w:rPr>
              <w:t>12</w:t>
            </w:r>
          </w:p>
        </w:tc>
        <w:tc>
          <w:tcPr>
            <w:tcW w:w="2187" w:type="dxa"/>
            <w:vAlign w:val="center"/>
          </w:tcPr>
          <w:p>
            <w:pPr>
              <w:spacing w:after="0" w:line="220" w:lineRule="atLeast"/>
              <w:rPr>
                <w:rFonts w:hint="eastAsia" w:ascii="宋体" w:hAnsi="宋体" w:cs="宋体"/>
              </w:rPr>
            </w:pPr>
            <w:r>
              <w:rPr>
                <w:rFonts w:hint="eastAsia" w:ascii="宋体" w:hAnsi="宋体" w:cs="宋体"/>
              </w:rPr>
              <w:t>建筑垃圾消纳利用许可</w:t>
            </w:r>
          </w:p>
        </w:tc>
        <w:tc>
          <w:tcPr>
            <w:tcW w:w="6742" w:type="dxa"/>
            <w:vAlign w:val="center"/>
          </w:tcPr>
          <w:p>
            <w:pPr>
              <w:spacing w:after="0" w:line="220" w:lineRule="atLeast"/>
              <w:rPr>
                <w:rFonts w:hint="eastAsia" w:ascii="宋体" w:hAnsi="宋体" w:cs="宋体"/>
              </w:rPr>
            </w:pPr>
            <w:r>
              <w:rPr>
                <w:rFonts w:hint="eastAsia" w:ascii="宋体" w:hAnsi="宋体" w:cs="宋体"/>
              </w:rPr>
              <w:t>《国务院对确需保留的行政审批项目设定行政许可的决定》(国务院第412号令)第101项《北京市市容环境卫生条例》第六十六条 设置建筑垃圾、渣土消纳场所的,应当向市政管理行政部门提出申请,经许可后,方可设置。违反规定的，责令改正，并处5000元以上1万元以下罚款。</w:t>
            </w:r>
          </w:p>
          <w:p>
            <w:pPr>
              <w:spacing w:after="0" w:line="220" w:lineRule="atLeast"/>
              <w:rPr>
                <w:rFonts w:hint="eastAsia" w:ascii="宋体" w:hAnsi="宋体" w:cs="宋体"/>
              </w:rPr>
            </w:pPr>
            <w:r>
              <w:rPr>
                <w:rFonts w:hint="eastAsia" w:ascii="宋体" w:hAnsi="宋体" w:cs="宋体"/>
              </w:rPr>
              <w:t>《北京市生活垃圾管理条例》第四十一条 生活垃圾集中转运、处理设施的运行管理单位应当按照要求接收生活垃圾，并进行分类处理。从事生活垃圾经营性处理服务的企业,应当取得市政市容行政主管部门核发的生活垃圾处理经营许可。设置建筑垃圾消纳场所的，应当取得市政市容</w:t>
            </w:r>
          </w:p>
          <w:p>
            <w:pPr>
              <w:spacing w:after="0" w:line="220" w:lineRule="atLeast"/>
              <w:rPr>
                <w:rFonts w:hint="eastAsia" w:ascii="宋体" w:hAnsi="宋体" w:cs="宋体"/>
              </w:rPr>
            </w:pPr>
            <w:r>
              <w:rPr>
                <w:rFonts w:hint="eastAsia" w:ascii="宋体" w:hAnsi="宋体" w:cs="宋体"/>
              </w:rPr>
              <w:t>行政主管部门核发的建筑垃圾消纳场所设置许可。</w:t>
            </w:r>
          </w:p>
        </w:tc>
        <w:tc>
          <w:tcPr>
            <w:tcW w:w="992" w:type="dxa"/>
            <w:vAlign w:val="center"/>
          </w:tcPr>
          <w:p>
            <w:pPr>
              <w:spacing w:after="0" w:line="220" w:lineRule="atLeast"/>
              <w:rPr>
                <w:rFonts w:hint="eastAsia" w:ascii="宋体" w:hAnsi="宋体" w:cs="宋体"/>
              </w:rPr>
            </w:pPr>
            <w:r>
              <w:rPr>
                <w:rFonts w:hint="eastAsia" w:ascii="宋体" w:hAnsi="宋体" w:cs="宋体"/>
              </w:rPr>
              <w:t>行政许可</w:t>
            </w:r>
          </w:p>
        </w:tc>
        <w:tc>
          <w:tcPr>
            <w:tcW w:w="803" w:type="dxa"/>
            <w:vAlign w:val="center"/>
          </w:tcPr>
          <w:p>
            <w:pPr>
              <w:spacing w:after="0" w:line="220" w:lineRule="atLeast"/>
              <w:rPr>
                <w:rFonts w:hint="eastAsia" w:ascii="宋体" w:hAnsi="宋体" w:cs="宋体"/>
              </w:rPr>
            </w:pPr>
            <w:r>
              <w:rPr>
                <w:rFonts w:hint="eastAsia" w:ascii="宋体" w:hAnsi="宋体" w:cs="宋体"/>
                <w:lang w:eastAsia="zh-CN"/>
              </w:rPr>
              <w:t>政策法规股</w:t>
            </w:r>
          </w:p>
        </w:tc>
        <w:tc>
          <w:tcPr>
            <w:tcW w:w="1109" w:type="dxa"/>
            <w:vAlign w:val="center"/>
          </w:tcPr>
          <w:p>
            <w:pPr>
              <w:spacing w:line="220" w:lineRule="atLeast"/>
              <w:jc w:val="center"/>
              <w:rPr>
                <w:rFonts w:hint="eastAsia" w:ascii="宋体" w:hAnsi="宋体" w:eastAsia="微软雅黑" w:cs="宋体"/>
                <w:sz w:val="20"/>
                <w:szCs w:val="20"/>
                <w:lang w:val="en-US" w:eastAsia="zh-CN" w:bidi="ar-SA"/>
              </w:rPr>
            </w:pPr>
            <w:r>
              <w:rPr>
                <w:rFonts w:hint="eastAsia" w:ascii="宋体" w:hAnsi="宋体" w:cs="宋体"/>
                <w:sz w:val="20"/>
                <w:szCs w:val="20"/>
                <w:lang w:eastAsia="zh-CN"/>
              </w:rPr>
              <w:t>拟调入</w:t>
            </w:r>
          </w:p>
        </w:tc>
        <w:tc>
          <w:tcPr>
            <w:tcW w:w="2251" w:type="dxa"/>
          </w:tcPr>
          <w:p>
            <w:pPr>
              <w:spacing w:after="0" w:line="220" w:lineRule="atLeast"/>
              <w:rPr>
                <w:rFonts w:hint="eastAsia" w:ascii="宋体" w:hAnsi="宋体" w:cs="宋体"/>
              </w:rPr>
            </w:pPr>
            <w:r>
              <w:rPr>
                <w:rFonts w:hint="eastAsia" w:ascii="宋体" w:hAnsi="宋体" w:cs="宋体"/>
              </w:rPr>
              <w:t>此次机构改革职能划转，划入来源为区建设交通局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534" w:type="dxa"/>
            <w:vAlign w:val="center"/>
          </w:tcPr>
          <w:p>
            <w:pPr>
              <w:spacing w:after="0" w:line="220" w:lineRule="atLeast"/>
              <w:rPr>
                <w:rFonts w:hint="eastAsia" w:ascii="宋体" w:hAnsi="宋体" w:cs="宋体"/>
              </w:rPr>
            </w:pPr>
            <w:r>
              <w:rPr>
                <w:rFonts w:hint="eastAsia" w:ascii="宋体" w:hAnsi="宋体" w:cs="宋体"/>
              </w:rPr>
              <w:t>13</w:t>
            </w:r>
          </w:p>
        </w:tc>
        <w:tc>
          <w:tcPr>
            <w:tcW w:w="2187" w:type="dxa"/>
            <w:vAlign w:val="center"/>
          </w:tcPr>
          <w:p>
            <w:pPr>
              <w:spacing w:after="0" w:line="220" w:lineRule="atLeast"/>
              <w:rPr>
                <w:rFonts w:hint="eastAsia" w:ascii="宋体" w:hAnsi="宋体" w:cs="宋体"/>
              </w:rPr>
            </w:pPr>
            <w:r>
              <w:rPr>
                <w:rFonts w:hint="eastAsia" w:ascii="宋体" w:hAnsi="宋体" w:cs="宋体"/>
              </w:rPr>
              <w:t>城市生活垃圾经营性处理服务许可</w:t>
            </w:r>
          </w:p>
        </w:tc>
        <w:tc>
          <w:tcPr>
            <w:tcW w:w="6742" w:type="dxa"/>
          </w:tcPr>
          <w:p>
            <w:pPr>
              <w:spacing w:after="0" w:line="220" w:lineRule="atLeast"/>
              <w:rPr>
                <w:rFonts w:hint="eastAsia" w:ascii="宋体" w:hAnsi="宋体" w:cs="宋体"/>
              </w:rPr>
            </w:pPr>
            <w:r>
              <w:rPr>
                <w:rFonts w:hint="eastAsia" w:ascii="宋体" w:hAnsi="宋体" w:cs="宋体"/>
              </w:rPr>
              <w:t>《城市生活垃圾管理办法》(2015年建设部令第24号修订) 第十七条、第二十五条。</w:t>
            </w:r>
          </w:p>
          <w:p>
            <w:pPr>
              <w:spacing w:after="0" w:line="220" w:lineRule="atLeast"/>
              <w:rPr>
                <w:rFonts w:hint="eastAsia" w:ascii="宋体" w:hAnsi="宋体" w:cs="宋体"/>
              </w:rPr>
            </w:pPr>
            <w:r>
              <w:rPr>
                <w:rFonts w:hint="eastAsia" w:ascii="宋体" w:hAnsi="宋体" w:cs="宋体"/>
              </w:rPr>
              <w:t>2.《国务院对确需保留的行政审批项目设定行政许可的决定》 102。</w:t>
            </w:r>
          </w:p>
          <w:p>
            <w:pPr>
              <w:spacing w:after="0" w:line="220" w:lineRule="atLeast"/>
              <w:rPr>
                <w:rFonts w:hint="eastAsia" w:ascii="宋体" w:hAnsi="宋体" w:cs="宋体"/>
              </w:rPr>
            </w:pPr>
          </w:p>
        </w:tc>
        <w:tc>
          <w:tcPr>
            <w:tcW w:w="992" w:type="dxa"/>
            <w:vAlign w:val="center"/>
          </w:tcPr>
          <w:p>
            <w:pPr>
              <w:spacing w:after="0" w:line="220" w:lineRule="atLeast"/>
              <w:rPr>
                <w:rFonts w:hint="eastAsia" w:ascii="宋体" w:hAnsi="宋体" w:cs="宋体"/>
              </w:rPr>
            </w:pPr>
            <w:r>
              <w:rPr>
                <w:rFonts w:hint="eastAsia" w:ascii="宋体" w:hAnsi="宋体" w:cs="宋体"/>
              </w:rPr>
              <w:t>行政许可</w:t>
            </w:r>
          </w:p>
        </w:tc>
        <w:tc>
          <w:tcPr>
            <w:tcW w:w="803" w:type="dxa"/>
            <w:vAlign w:val="center"/>
          </w:tcPr>
          <w:p>
            <w:pPr>
              <w:spacing w:after="0" w:line="220" w:lineRule="atLeast"/>
              <w:rPr>
                <w:rFonts w:hint="eastAsia" w:ascii="宋体" w:hAnsi="宋体" w:cs="宋体"/>
              </w:rPr>
            </w:pPr>
            <w:r>
              <w:rPr>
                <w:rFonts w:hint="eastAsia" w:ascii="宋体" w:hAnsi="宋体" w:cs="宋体"/>
                <w:lang w:eastAsia="zh-CN"/>
              </w:rPr>
              <w:t>政策法规股</w:t>
            </w:r>
          </w:p>
        </w:tc>
        <w:tc>
          <w:tcPr>
            <w:tcW w:w="1109" w:type="dxa"/>
            <w:vAlign w:val="center"/>
          </w:tcPr>
          <w:p>
            <w:pPr>
              <w:spacing w:line="220" w:lineRule="atLeast"/>
              <w:jc w:val="center"/>
              <w:rPr>
                <w:rFonts w:hint="eastAsia" w:ascii="宋体" w:hAnsi="宋体" w:eastAsia="微软雅黑" w:cs="宋体"/>
                <w:sz w:val="20"/>
                <w:szCs w:val="20"/>
                <w:lang w:val="en-US" w:eastAsia="zh-CN" w:bidi="ar-SA"/>
              </w:rPr>
            </w:pPr>
            <w:r>
              <w:rPr>
                <w:rFonts w:hint="eastAsia" w:ascii="宋体" w:hAnsi="宋体" w:cs="宋体"/>
                <w:sz w:val="20"/>
                <w:szCs w:val="20"/>
                <w:lang w:eastAsia="zh-CN"/>
              </w:rPr>
              <w:t>拟调入</w:t>
            </w:r>
          </w:p>
        </w:tc>
        <w:tc>
          <w:tcPr>
            <w:tcW w:w="2251" w:type="dxa"/>
          </w:tcPr>
          <w:p>
            <w:pPr>
              <w:spacing w:after="0" w:line="220" w:lineRule="atLeast"/>
              <w:rPr>
                <w:rFonts w:hint="eastAsia" w:ascii="宋体" w:hAnsi="宋体" w:cs="宋体"/>
              </w:rPr>
            </w:pPr>
            <w:r>
              <w:rPr>
                <w:rFonts w:hint="eastAsia" w:ascii="宋体" w:hAnsi="宋体" w:cs="宋体"/>
              </w:rPr>
              <w:t>此次机构改革职能划转，划入来源为区建设交通局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9" w:hRule="atLeast"/>
        </w:trPr>
        <w:tc>
          <w:tcPr>
            <w:tcW w:w="534" w:type="dxa"/>
            <w:vAlign w:val="center"/>
          </w:tcPr>
          <w:p>
            <w:pPr>
              <w:spacing w:after="0" w:line="220" w:lineRule="atLeast"/>
              <w:rPr>
                <w:rFonts w:hint="eastAsia" w:ascii="宋体" w:hAnsi="宋体" w:cs="宋体"/>
              </w:rPr>
            </w:pPr>
            <w:r>
              <w:rPr>
                <w:rFonts w:hint="eastAsia" w:ascii="宋体" w:hAnsi="宋体" w:cs="宋体"/>
              </w:rPr>
              <w:t>14</w:t>
            </w:r>
          </w:p>
        </w:tc>
        <w:tc>
          <w:tcPr>
            <w:tcW w:w="2187" w:type="dxa"/>
            <w:vAlign w:val="center"/>
          </w:tcPr>
          <w:p>
            <w:pPr>
              <w:spacing w:after="0" w:line="220" w:lineRule="atLeast"/>
              <w:rPr>
                <w:rFonts w:hint="eastAsia" w:ascii="宋体" w:hAnsi="宋体" w:cs="宋体"/>
              </w:rPr>
            </w:pPr>
            <w:r>
              <w:rPr>
                <w:rFonts w:hint="eastAsia" w:ascii="宋体" w:hAnsi="宋体" w:cs="宋体"/>
              </w:rPr>
              <w:t>城市生活垃圾经营性清扫、收集、运输服务许可</w:t>
            </w:r>
          </w:p>
        </w:tc>
        <w:tc>
          <w:tcPr>
            <w:tcW w:w="6742" w:type="dxa"/>
            <w:vAlign w:val="center"/>
          </w:tcPr>
          <w:p>
            <w:pPr>
              <w:spacing w:after="0" w:line="220" w:lineRule="atLeast"/>
              <w:rPr>
                <w:rFonts w:hint="eastAsia" w:ascii="宋体" w:hAnsi="宋体" w:cs="宋体"/>
              </w:rPr>
            </w:pPr>
            <w:r>
              <w:rPr>
                <w:rFonts w:hint="eastAsia" w:ascii="宋体" w:hAnsi="宋体" w:cs="宋体"/>
              </w:rPr>
              <w:t>《城市生活垃圾管理办法》第四十七条　违反本办法规定的职权和程序，核发城市生活垃圾清扫、收集、运输、处理许可证的，由上级主管机关责令改正，并对其主管人员及其他直接责任人员给予行政处分；构成犯罪的，应当追究刑事责任。</w:t>
            </w:r>
            <w:r>
              <w:rPr>
                <w:rFonts w:hint="eastAsia" w:ascii="宋体" w:hAnsi="宋体" w:cs="宋体"/>
              </w:rPr>
              <w:br w:type="textWrapping"/>
            </w:r>
            <w:r>
              <w:rPr>
                <w:rFonts w:hint="eastAsia" w:ascii="宋体" w:hAnsi="宋体" w:cs="宋体"/>
              </w:rPr>
              <w:t>国家机关工作人员在城市生活垃圾监督管理工作中，玩忽职守、滥用职权、徇私舞弊的，依法给予行政处分；构成犯罪的，依法追究刑事责任。</w:t>
            </w:r>
          </w:p>
        </w:tc>
        <w:tc>
          <w:tcPr>
            <w:tcW w:w="992" w:type="dxa"/>
            <w:vAlign w:val="center"/>
          </w:tcPr>
          <w:p>
            <w:pPr>
              <w:spacing w:after="0" w:line="220" w:lineRule="atLeast"/>
              <w:rPr>
                <w:rFonts w:hint="eastAsia" w:ascii="宋体" w:hAnsi="宋体" w:cs="宋体"/>
              </w:rPr>
            </w:pPr>
            <w:r>
              <w:rPr>
                <w:rFonts w:hint="eastAsia" w:ascii="宋体" w:hAnsi="宋体" w:cs="宋体"/>
              </w:rPr>
              <w:t>行政许可</w:t>
            </w:r>
          </w:p>
        </w:tc>
        <w:tc>
          <w:tcPr>
            <w:tcW w:w="803" w:type="dxa"/>
            <w:vAlign w:val="center"/>
          </w:tcPr>
          <w:p>
            <w:pPr>
              <w:spacing w:after="0" w:line="220" w:lineRule="atLeast"/>
              <w:rPr>
                <w:rFonts w:hint="eastAsia" w:ascii="宋体" w:hAnsi="宋体" w:cs="宋体"/>
              </w:rPr>
            </w:pPr>
            <w:r>
              <w:rPr>
                <w:rFonts w:hint="eastAsia" w:ascii="宋体" w:hAnsi="宋体" w:cs="宋体"/>
                <w:lang w:eastAsia="zh-CN"/>
              </w:rPr>
              <w:t>政策法规股</w:t>
            </w:r>
          </w:p>
        </w:tc>
        <w:tc>
          <w:tcPr>
            <w:tcW w:w="1109" w:type="dxa"/>
            <w:vAlign w:val="center"/>
          </w:tcPr>
          <w:p>
            <w:pPr>
              <w:spacing w:line="220" w:lineRule="atLeast"/>
              <w:jc w:val="center"/>
              <w:rPr>
                <w:rFonts w:hint="eastAsia" w:ascii="宋体" w:hAnsi="宋体" w:eastAsia="微软雅黑" w:cs="宋体"/>
                <w:sz w:val="20"/>
                <w:szCs w:val="20"/>
                <w:lang w:val="en-US" w:eastAsia="zh-CN" w:bidi="ar-SA"/>
              </w:rPr>
            </w:pPr>
            <w:r>
              <w:rPr>
                <w:rFonts w:hint="eastAsia" w:ascii="宋体" w:hAnsi="宋体" w:cs="宋体"/>
                <w:sz w:val="20"/>
                <w:szCs w:val="20"/>
                <w:lang w:eastAsia="zh-CN"/>
              </w:rPr>
              <w:t>拟调入</w:t>
            </w:r>
          </w:p>
        </w:tc>
        <w:tc>
          <w:tcPr>
            <w:tcW w:w="2251" w:type="dxa"/>
          </w:tcPr>
          <w:p>
            <w:pPr>
              <w:spacing w:after="0" w:line="220" w:lineRule="atLeast"/>
              <w:rPr>
                <w:rFonts w:hint="eastAsia" w:ascii="宋体" w:hAnsi="宋体" w:cs="宋体"/>
              </w:rPr>
            </w:pPr>
            <w:r>
              <w:rPr>
                <w:rFonts w:hint="eastAsia" w:ascii="宋体" w:hAnsi="宋体" w:cs="宋体"/>
              </w:rPr>
              <w:t>此次机构改革职能划转，划入来源为区建设交通局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534" w:type="dxa"/>
            <w:vAlign w:val="center"/>
          </w:tcPr>
          <w:p>
            <w:pPr>
              <w:spacing w:after="0" w:line="220" w:lineRule="atLeast"/>
              <w:rPr>
                <w:rFonts w:hint="eastAsia" w:ascii="宋体" w:hAnsi="宋体" w:cs="宋体"/>
              </w:rPr>
            </w:pPr>
            <w:r>
              <w:rPr>
                <w:rFonts w:hint="eastAsia" w:ascii="宋体" w:hAnsi="宋体" w:cs="宋体"/>
              </w:rPr>
              <w:t>15</w:t>
            </w:r>
          </w:p>
        </w:tc>
        <w:tc>
          <w:tcPr>
            <w:tcW w:w="2187" w:type="dxa"/>
            <w:vAlign w:val="center"/>
          </w:tcPr>
          <w:p>
            <w:pPr>
              <w:spacing w:after="0" w:line="220" w:lineRule="atLeast"/>
              <w:rPr>
                <w:rFonts w:hint="eastAsia" w:ascii="宋体" w:hAnsi="宋体" w:cs="宋体"/>
              </w:rPr>
            </w:pPr>
            <w:r>
              <w:rPr>
                <w:rFonts w:hint="eastAsia" w:ascii="宋体" w:hAnsi="宋体" w:cs="宋体"/>
              </w:rPr>
              <w:t>工程建设涉及城市绿地、树木审批</w:t>
            </w:r>
          </w:p>
        </w:tc>
        <w:tc>
          <w:tcPr>
            <w:tcW w:w="6742" w:type="dxa"/>
            <w:vAlign w:val="center"/>
          </w:tcPr>
          <w:p>
            <w:pPr>
              <w:spacing w:after="0" w:line="220" w:lineRule="atLeast"/>
              <w:rPr>
                <w:rFonts w:hint="eastAsia" w:ascii="宋体" w:hAnsi="宋体" w:cs="宋体"/>
              </w:rPr>
            </w:pPr>
            <w:r>
              <w:rPr>
                <w:rFonts w:hint="eastAsia" w:ascii="宋体" w:hAnsi="宋体" w:cs="宋体"/>
                <w:sz w:val="20"/>
                <w:szCs w:val="20"/>
              </w:rPr>
              <w:t>《</w:t>
            </w:r>
            <w:r>
              <w:rPr>
                <w:rFonts w:hint="eastAsia" w:ascii="宋体" w:hAnsi="宋体" w:cs="宋体"/>
              </w:rPr>
              <w:t>城市绿化管理条例》第二十七条 未经同意擅自占用城市绿化用地的，由城市人民政府城市绿化行政主管部门责令限期退还、恢复原状，可以并处罚款;造成损失的，应当负赔偿责任。《河南省城市绿化实施办法》（河南省政府令第41号）第十七条：“任何单位和个人都不得擅自占用城市绿化用地，占用城市绿化用地的应限期归还。因建设或特殊原因，确需临时占用城市绿地的，须经城市绿化行政主管部门同意，并按规定办理临时用地手续。临时占用城市绿地1000平方米以下的，由负责城市绿化的行政主管部门审批，1000平方米以上的报省建设行政主管部门审批。临时占用城市绿地应规定期限恢复原状。”</w:t>
            </w:r>
          </w:p>
        </w:tc>
        <w:tc>
          <w:tcPr>
            <w:tcW w:w="992" w:type="dxa"/>
            <w:vAlign w:val="center"/>
          </w:tcPr>
          <w:p>
            <w:pPr>
              <w:spacing w:after="0" w:line="220" w:lineRule="atLeast"/>
              <w:rPr>
                <w:rFonts w:hint="eastAsia" w:ascii="宋体" w:hAnsi="宋体" w:cs="宋体"/>
              </w:rPr>
            </w:pPr>
            <w:r>
              <w:rPr>
                <w:rFonts w:hint="eastAsia" w:ascii="宋体" w:hAnsi="宋体" w:cs="宋体"/>
              </w:rPr>
              <w:t>行政许可</w:t>
            </w:r>
          </w:p>
        </w:tc>
        <w:tc>
          <w:tcPr>
            <w:tcW w:w="803" w:type="dxa"/>
            <w:vAlign w:val="center"/>
          </w:tcPr>
          <w:p>
            <w:pPr>
              <w:spacing w:after="0" w:line="220" w:lineRule="atLeast"/>
              <w:rPr>
                <w:rFonts w:hint="eastAsia" w:ascii="宋体" w:hAnsi="宋体" w:cs="宋体"/>
              </w:rPr>
            </w:pPr>
            <w:r>
              <w:rPr>
                <w:rFonts w:hint="eastAsia" w:ascii="宋体" w:hAnsi="宋体" w:cs="宋体"/>
                <w:lang w:eastAsia="zh-CN"/>
              </w:rPr>
              <w:t>政策法规股</w:t>
            </w:r>
          </w:p>
        </w:tc>
        <w:tc>
          <w:tcPr>
            <w:tcW w:w="1109" w:type="dxa"/>
            <w:vAlign w:val="center"/>
          </w:tcPr>
          <w:p>
            <w:pPr>
              <w:spacing w:line="220" w:lineRule="atLeast"/>
              <w:jc w:val="center"/>
              <w:rPr>
                <w:rFonts w:hint="eastAsia" w:ascii="宋体" w:hAnsi="宋体" w:cs="宋体"/>
                <w:sz w:val="20"/>
                <w:szCs w:val="20"/>
                <w:lang w:eastAsia="zh-CN"/>
              </w:rPr>
            </w:pPr>
          </w:p>
          <w:p>
            <w:pPr>
              <w:spacing w:line="220" w:lineRule="atLeast"/>
              <w:jc w:val="both"/>
              <w:rPr>
                <w:rFonts w:hint="eastAsia" w:ascii="宋体" w:hAnsi="宋体" w:eastAsia="微软雅黑" w:cs="宋体"/>
                <w:sz w:val="20"/>
                <w:szCs w:val="20"/>
                <w:lang w:val="en-US" w:eastAsia="zh-CN" w:bidi="ar-SA"/>
              </w:rPr>
            </w:pPr>
            <w:r>
              <w:rPr>
                <w:rFonts w:hint="eastAsia" w:ascii="宋体" w:hAnsi="宋体" w:cs="宋体"/>
                <w:sz w:val="20"/>
                <w:szCs w:val="20"/>
                <w:lang w:eastAsia="zh-CN"/>
              </w:rPr>
              <w:t>拟调入</w:t>
            </w:r>
          </w:p>
        </w:tc>
        <w:tc>
          <w:tcPr>
            <w:tcW w:w="2251" w:type="dxa"/>
          </w:tcPr>
          <w:p>
            <w:pPr>
              <w:spacing w:after="0" w:line="220" w:lineRule="atLeast"/>
              <w:rPr>
                <w:rFonts w:hint="eastAsia" w:ascii="宋体" w:hAnsi="宋体" w:cs="宋体"/>
              </w:rPr>
            </w:pPr>
            <w:r>
              <w:rPr>
                <w:rFonts w:hint="eastAsia" w:ascii="宋体" w:hAnsi="宋体" w:cs="宋体"/>
              </w:rPr>
              <w:t>此次机构改革职能划转，划入来源为区建设交通局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trPr>
        <w:tc>
          <w:tcPr>
            <w:tcW w:w="534" w:type="dxa"/>
            <w:vAlign w:val="center"/>
          </w:tcPr>
          <w:p>
            <w:pPr>
              <w:spacing w:after="0" w:line="220" w:lineRule="atLeast"/>
              <w:rPr>
                <w:rFonts w:hint="eastAsia" w:ascii="宋体" w:hAnsi="宋体" w:cs="宋体"/>
              </w:rPr>
            </w:pPr>
            <w:r>
              <w:rPr>
                <w:rFonts w:hint="eastAsia" w:ascii="宋体" w:hAnsi="宋体" w:cs="宋体"/>
              </w:rPr>
              <w:t>16</w:t>
            </w:r>
          </w:p>
        </w:tc>
        <w:tc>
          <w:tcPr>
            <w:tcW w:w="2187" w:type="dxa"/>
            <w:vAlign w:val="center"/>
          </w:tcPr>
          <w:p>
            <w:pPr>
              <w:spacing w:after="0" w:line="220" w:lineRule="atLeast"/>
              <w:rPr>
                <w:rFonts w:hint="eastAsia" w:ascii="宋体" w:hAnsi="宋体" w:cs="宋体"/>
              </w:rPr>
            </w:pPr>
            <w:r>
              <w:rPr>
                <w:rFonts w:hint="eastAsia" w:ascii="宋体" w:hAnsi="宋体" w:cs="宋体"/>
              </w:rPr>
              <w:t>关闭、闲置、拆除城市环卫设施许可</w:t>
            </w:r>
          </w:p>
        </w:tc>
        <w:tc>
          <w:tcPr>
            <w:tcW w:w="6742" w:type="dxa"/>
            <w:vAlign w:val="center"/>
          </w:tcPr>
          <w:p>
            <w:pPr>
              <w:spacing w:after="0" w:line="220" w:lineRule="atLeast"/>
              <w:rPr>
                <w:rFonts w:hint="eastAsia" w:ascii="宋体" w:hAnsi="宋体" w:cs="宋体"/>
              </w:rPr>
            </w:pPr>
            <w:r>
              <w:rPr>
                <w:rFonts w:hint="eastAsia" w:ascii="宋体" w:hAnsi="宋体" w:cs="宋体"/>
              </w:rPr>
              <w:t>《中华人民共和国固体废物污染环境防治法》第四十四条：“建设生活垃圾处置的设施、场所，必须符合国务院环境保护行政主管部门和国务院建设行政主管部门规定的环境保护和环境卫生标准。禁止擅自关闭、闲置或者拆除生活垃圾处置的设施、场所；确有必要关闭、闲置或者拆除的，必须经所在地的市、县人民政府环境卫生行政主管部门和环境保护行政主管部门核准，并采取措施，防止污染环境。”</w:t>
            </w:r>
          </w:p>
        </w:tc>
        <w:tc>
          <w:tcPr>
            <w:tcW w:w="992" w:type="dxa"/>
            <w:vAlign w:val="center"/>
          </w:tcPr>
          <w:p>
            <w:pPr>
              <w:spacing w:after="0" w:line="220" w:lineRule="atLeast"/>
              <w:rPr>
                <w:rFonts w:hint="eastAsia" w:ascii="宋体" w:hAnsi="宋体" w:cs="宋体"/>
              </w:rPr>
            </w:pPr>
            <w:r>
              <w:rPr>
                <w:rFonts w:hint="eastAsia" w:ascii="宋体" w:hAnsi="宋体" w:cs="宋体"/>
              </w:rPr>
              <w:t>行政许可</w:t>
            </w:r>
          </w:p>
        </w:tc>
        <w:tc>
          <w:tcPr>
            <w:tcW w:w="803" w:type="dxa"/>
            <w:vAlign w:val="center"/>
          </w:tcPr>
          <w:p>
            <w:pPr>
              <w:spacing w:after="0" w:line="220" w:lineRule="atLeast"/>
              <w:rPr>
                <w:rFonts w:hint="eastAsia" w:ascii="宋体" w:hAnsi="宋体" w:cs="宋体"/>
              </w:rPr>
            </w:pPr>
            <w:r>
              <w:rPr>
                <w:rFonts w:hint="eastAsia" w:ascii="宋体" w:hAnsi="宋体" w:cs="宋体"/>
                <w:lang w:eastAsia="zh-CN"/>
              </w:rPr>
              <w:t>政策法规股</w:t>
            </w:r>
          </w:p>
        </w:tc>
        <w:tc>
          <w:tcPr>
            <w:tcW w:w="1109" w:type="dxa"/>
            <w:vAlign w:val="center"/>
          </w:tcPr>
          <w:p>
            <w:pPr>
              <w:spacing w:line="220" w:lineRule="atLeast"/>
              <w:jc w:val="center"/>
              <w:rPr>
                <w:rFonts w:hint="eastAsia" w:ascii="宋体" w:hAnsi="宋体" w:eastAsia="微软雅黑" w:cs="宋体"/>
                <w:sz w:val="20"/>
                <w:szCs w:val="20"/>
                <w:lang w:val="en-US" w:eastAsia="zh-CN" w:bidi="ar-SA"/>
              </w:rPr>
            </w:pPr>
            <w:r>
              <w:rPr>
                <w:rFonts w:hint="eastAsia" w:ascii="宋体" w:hAnsi="宋体" w:cs="宋体"/>
                <w:sz w:val="20"/>
                <w:szCs w:val="20"/>
                <w:lang w:eastAsia="zh-CN"/>
              </w:rPr>
              <w:t>拟调入</w:t>
            </w:r>
          </w:p>
        </w:tc>
        <w:tc>
          <w:tcPr>
            <w:tcW w:w="2251" w:type="dxa"/>
          </w:tcPr>
          <w:p>
            <w:pPr>
              <w:spacing w:after="0" w:line="220" w:lineRule="atLeast"/>
              <w:rPr>
                <w:rFonts w:hint="eastAsia" w:ascii="宋体" w:hAnsi="宋体" w:cs="宋体"/>
              </w:rPr>
            </w:pPr>
            <w:r>
              <w:rPr>
                <w:rFonts w:hint="eastAsia" w:ascii="宋体" w:hAnsi="宋体" w:cs="宋体"/>
              </w:rPr>
              <w:t>此次机构改革职能划转，划入来源为区建设交通局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534" w:type="dxa"/>
            <w:vAlign w:val="center"/>
          </w:tcPr>
          <w:p>
            <w:pPr>
              <w:spacing w:after="0" w:line="220" w:lineRule="atLeast"/>
              <w:rPr>
                <w:rFonts w:hint="eastAsia" w:ascii="宋体" w:hAnsi="宋体" w:cs="宋体"/>
              </w:rPr>
            </w:pPr>
            <w:r>
              <w:rPr>
                <w:rFonts w:hint="eastAsia" w:ascii="宋体" w:hAnsi="宋体" w:cs="宋体"/>
              </w:rPr>
              <w:t>17</w:t>
            </w:r>
          </w:p>
        </w:tc>
        <w:tc>
          <w:tcPr>
            <w:tcW w:w="2187" w:type="dxa"/>
            <w:vAlign w:val="center"/>
          </w:tcPr>
          <w:p>
            <w:pPr>
              <w:spacing w:after="0" w:line="220" w:lineRule="atLeast"/>
              <w:rPr>
                <w:rFonts w:hint="eastAsia" w:ascii="宋体" w:hAnsi="宋体" w:cs="宋体"/>
              </w:rPr>
            </w:pPr>
            <w:r>
              <w:rPr>
                <w:rFonts w:hint="eastAsia" w:ascii="宋体" w:hAnsi="宋体" w:cs="宋体"/>
              </w:rPr>
              <w:t>因工程建设需要拆除、改动、迁移供水、排水与污水处理设施审核</w:t>
            </w:r>
          </w:p>
        </w:tc>
        <w:tc>
          <w:tcPr>
            <w:tcW w:w="6742"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cs="宋体"/>
              </w:rPr>
            </w:pPr>
            <w:r>
              <w:rPr>
                <w:rFonts w:hint="eastAsia" w:ascii="宋体" w:hAnsi="宋体" w:eastAsia="微软雅黑" w:cs="宋体"/>
                <w:b w:val="0"/>
                <w:kern w:val="0"/>
                <w:sz w:val="22"/>
                <w:szCs w:val="22"/>
                <w:lang w:val="en-US" w:eastAsia="zh-CN" w:bidi="ar-SA"/>
              </w:rPr>
              <w:t>《城市道路管理条例》（国务院令198号）第二十九条“依附于城市道路建设各种管线、杆线等设施，应当经市政工程主管部门批准，方可建设。”《河南省市政设施管理办法》2018年修订版全文（河南省人民政府令第72号）【2002年12月31日河南省人民政府令第72号发布,根据2012年5月21日河南省人民政府令第148号公布的《河南省人民政府关于废止和修订部分省政府规章的决定》第一次修订,根据2017年4月14日</w:t>
            </w:r>
            <w:r>
              <w:rPr>
                <w:rFonts w:hint="eastAsia" w:ascii="宋体" w:hAnsi="宋体" w:eastAsia="微软雅黑" w:cs="宋体"/>
                <w:b w:val="0"/>
                <w:kern w:val="0"/>
                <w:sz w:val="22"/>
                <w:szCs w:val="22"/>
                <w:lang w:val="en-US" w:eastAsia="zh-CN" w:bidi="ar-SA"/>
              </w:rPr>
              <w:fldChar w:fldCharType="begin"/>
            </w:r>
            <w:r>
              <w:rPr>
                <w:rFonts w:hint="eastAsia" w:ascii="宋体" w:hAnsi="宋体" w:eastAsia="微软雅黑" w:cs="宋体"/>
                <w:b w:val="0"/>
                <w:kern w:val="0"/>
                <w:sz w:val="22"/>
                <w:szCs w:val="22"/>
                <w:lang w:val="en-US" w:eastAsia="zh-CN" w:bidi="ar-SA"/>
              </w:rPr>
              <w:instrText xml:space="preserve"> HYPERLINK "http://www.waizi.org.cn/policy/18978.html" \o "《河南省人民政府关于废止和修改部分省政府规章的决定》河南省人民政府令第179号（全文）" \t "http://www.waizi.org.cn/policy/_blank" </w:instrText>
            </w:r>
            <w:r>
              <w:rPr>
                <w:rFonts w:hint="eastAsia" w:ascii="宋体" w:hAnsi="宋体" w:eastAsia="微软雅黑" w:cs="宋体"/>
                <w:b w:val="0"/>
                <w:kern w:val="0"/>
                <w:sz w:val="22"/>
                <w:szCs w:val="22"/>
                <w:lang w:val="en-US" w:eastAsia="zh-CN" w:bidi="ar-SA"/>
              </w:rPr>
              <w:fldChar w:fldCharType="separate"/>
            </w:r>
            <w:r>
              <w:rPr>
                <w:rFonts w:hint="eastAsia" w:ascii="宋体" w:hAnsi="宋体" w:eastAsia="微软雅黑" w:cs="宋体"/>
                <w:b w:val="0"/>
                <w:kern w:val="0"/>
                <w:sz w:val="22"/>
                <w:szCs w:val="22"/>
                <w:lang w:val="en-US" w:eastAsia="zh-CN" w:bidi="ar-SA"/>
              </w:rPr>
              <w:t>河南省人民政府令第179号</w:t>
            </w:r>
            <w:r>
              <w:rPr>
                <w:rFonts w:hint="eastAsia" w:ascii="宋体" w:hAnsi="宋体" w:eastAsia="微软雅黑" w:cs="宋体"/>
                <w:b w:val="0"/>
                <w:kern w:val="0"/>
                <w:sz w:val="22"/>
                <w:szCs w:val="22"/>
                <w:lang w:val="en-US" w:eastAsia="zh-CN" w:bidi="ar-SA"/>
              </w:rPr>
              <w:fldChar w:fldCharType="end"/>
            </w:r>
            <w:r>
              <w:rPr>
                <w:rFonts w:hint="eastAsia" w:ascii="宋体" w:hAnsi="宋体" w:eastAsia="微软雅黑" w:cs="宋体"/>
                <w:b w:val="0"/>
                <w:kern w:val="0"/>
                <w:sz w:val="22"/>
                <w:szCs w:val="22"/>
                <w:lang w:val="en-US" w:eastAsia="zh-CN" w:bidi="ar-SA"/>
              </w:rPr>
              <w:t>公布的《</w:t>
            </w:r>
            <w:r>
              <w:rPr>
                <w:rFonts w:hint="eastAsia" w:ascii="宋体" w:hAnsi="宋体" w:eastAsia="微软雅黑" w:cs="宋体"/>
                <w:b w:val="0"/>
                <w:kern w:val="0"/>
                <w:sz w:val="22"/>
                <w:szCs w:val="22"/>
                <w:lang w:val="en-US" w:eastAsia="zh-CN" w:bidi="ar-SA"/>
              </w:rPr>
              <w:fldChar w:fldCharType="begin"/>
            </w:r>
            <w:r>
              <w:rPr>
                <w:rFonts w:hint="eastAsia" w:ascii="宋体" w:hAnsi="宋体" w:eastAsia="微软雅黑" w:cs="宋体"/>
                <w:b w:val="0"/>
                <w:kern w:val="0"/>
                <w:sz w:val="22"/>
                <w:szCs w:val="22"/>
                <w:lang w:val="en-US" w:eastAsia="zh-CN" w:bidi="ar-SA"/>
              </w:rPr>
              <w:instrText xml:space="preserve"> HYPERLINK "http://www.waizi.org.cn/policy/18978.html" \o "《河南省人民政府关于废止和修改部分省政府规章的决定》河南省人民政府令第179号（全文）" \t "http://www.waizi.org.cn/policy/_blank" </w:instrText>
            </w:r>
            <w:r>
              <w:rPr>
                <w:rFonts w:hint="eastAsia" w:ascii="宋体" w:hAnsi="宋体" w:eastAsia="微软雅黑" w:cs="宋体"/>
                <w:b w:val="0"/>
                <w:kern w:val="0"/>
                <w:sz w:val="22"/>
                <w:szCs w:val="22"/>
                <w:lang w:val="en-US" w:eastAsia="zh-CN" w:bidi="ar-SA"/>
              </w:rPr>
              <w:fldChar w:fldCharType="separate"/>
            </w:r>
            <w:r>
              <w:rPr>
                <w:rFonts w:hint="eastAsia" w:ascii="宋体" w:hAnsi="宋体" w:eastAsia="微软雅黑" w:cs="宋体"/>
                <w:b w:val="0"/>
                <w:kern w:val="0"/>
                <w:sz w:val="22"/>
                <w:szCs w:val="22"/>
                <w:lang w:val="en-US" w:eastAsia="zh-CN" w:bidi="ar-SA"/>
              </w:rPr>
              <w:t>河南省人民政府关于废止和修改部分省政府规章的决定</w:t>
            </w:r>
            <w:r>
              <w:rPr>
                <w:rFonts w:hint="eastAsia" w:ascii="宋体" w:hAnsi="宋体" w:eastAsia="微软雅黑" w:cs="宋体"/>
                <w:b w:val="0"/>
                <w:kern w:val="0"/>
                <w:sz w:val="22"/>
                <w:szCs w:val="22"/>
                <w:lang w:val="en-US" w:eastAsia="zh-CN" w:bidi="ar-SA"/>
              </w:rPr>
              <w:fldChar w:fldCharType="end"/>
            </w:r>
            <w:r>
              <w:rPr>
                <w:rFonts w:hint="eastAsia" w:ascii="宋体" w:hAnsi="宋体" w:eastAsia="微软雅黑" w:cs="宋体"/>
                <w:b w:val="0"/>
                <w:kern w:val="0"/>
                <w:sz w:val="22"/>
                <w:szCs w:val="22"/>
                <w:lang w:val="en-US" w:eastAsia="zh-CN" w:bidi="ar-SA"/>
              </w:rPr>
              <w:t>》第二次修订；根据2018年7月19日公布的</w:t>
            </w:r>
            <w:r>
              <w:rPr>
                <w:rFonts w:hint="eastAsia" w:ascii="宋体" w:hAnsi="宋体" w:eastAsia="微软雅黑" w:cs="宋体"/>
                <w:b w:val="0"/>
                <w:kern w:val="0"/>
                <w:sz w:val="22"/>
                <w:szCs w:val="22"/>
                <w:lang w:val="en-US" w:eastAsia="zh-CN" w:bidi="ar-SA"/>
              </w:rPr>
              <w:fldChar w:fldCharType="begin"/>
            </w:r>
            <w:r>
              <w:rPr>
                <w:rFonts w:hint="eastAsia" w:ascii="宋体" w:hAnsi="宋体" w:eastAsia="微软雅黑" w:cs="宋体"/>
                <w:b w:val="0"/>
                <w:kern w:val="0"/>
                <w:sz w:val="22"/>
                <w:szCs w:val="22"/>
                <w:lang w:val="en-US" w:eastAsia="zh-CN" w:bidi="ar-SA"/>
              </w:rPr>
              <w:instrText xml:space="preserve"> HYPERLINK "http://www.waizi.org.cn/policy/40426.html" \o "《河南省人民政府关于废止和修改部分省政府规章的决定》河南省人民政府令第185号" \t "http://www.waizi.org.cn/policy/_blank" </w:instrText>
            </w:r>
            <w:r>
              <w:rPr>
                <w:rFonts w:hint="eastAsia" w:ascii="宋体" w:hAnsi="宋体" w:eastAsia="微软雅黑" w:cs="宋体"/>
                <w:b w:val="0"/>
                <w:kern w:val="0"/>
                <w:sz w:val="22"/>
                <w:szCs w:val="22"/>
                <w:lang w:val="en-US" w:eastAsia="zh-CN" w:bidi="ar-SA"/>
              </w:rPr>
              <w:fldChar w:fldCharType="separate"/>
            </w:r>
            <w:r>
              <w:rPr>
                <w:rFonts w:hint="eastAsia" w:ascii="宋体" w:hAnsi="宋体" w:eastAsia="微软雅黑" w:cs="宋体"/>
                <w:b w:val="0"/>
                <w:kern w:val="0"/>
                <w:sz w:val="22"/>
                <w:szCs w:val="22"/>
                <w:lang w:val="en-US" w:eastAsia="zh-CN" w:bidi="ar-SA"/>
              </w:rPr>
              <w:t>《河南省人民政府关于废止和修改部分省政府规章的决定》（河南省人民政府令第185号）</w:t>
            </w:r>
            <w:r>
              <w:rPr>
                <w:rFonts w:hint="eastAsia" w:ascii="宋体" w:hAnsi="宋体" w:eastAsia="微软雅黑" w:cs="宋体"/>
                <w:b w:val="0"/>
                <w:kern w:val="0"/>
                <w:sz w:val="22"/>
                <w:szCs w:val="22"/>
                <w:lang w:val="en-US" w:eastAsia="zh-CN" w:bidi="ar-SA"/>
              </w:rPr>
              <w:fldChar w:fldCharType="end"/>
            </w:r>
            <w:r>
              <w:rPr>
                <w:rFonts w:hint="eastAsia" w:ascii="宋体" w:hAnsi="宋体" w:eastAsia="微软雅黑" w:cs="宋体"/>
                <w:b w:val="0"/>
                <w:kern w:val="0"/>
                <w:sz w:val="22"/>
                <w:szCs w:val="22"/>
                <w:lang w:val="en-US" w:eastAsia="zh-CN" w:bidi="ar-SA"/>
              </w:rPr>
              <w:t>第三次修订】“第二十一条　因建设工程需要迁建、改建城市道路、排水、照明等市政设施的，应当报市政行政主管部门批准。迁建、改建所需费用，由建设单位承担。”《城镇排水与污水处理条例》（国务院令第641号）第二十一条：“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排水户应当按照污水排入排水管网许可证的要求排放污水。”《城镇污水排入排水管网许可管理办法》（住房和城乡建设部令第21号）第六条：“排水户向所在地城镇排水主管部门申请领取排水许可证。城镇排水主管部门应当自受理申请之日起20日内作出决定。”第九条：“排水许可证的有效期为5年”国务院对确需保留的行政审批项目设定行政许可的决定》（国务院令第412号）国务院决定对确需保留的行政审批项目设定行政许可的目录103：“城市排水许可证核发  所在城市的市人民政府排水行政主管部门”</w:t>
            </w:r>
          </w:p>
        </w:tc>
        <w:tc>
          <w:tcPr>
            <w:tcW w:w="992" w:type="dxa"/>
            <w:vAlign w:val="center"/>
          </w:tcPr>
          <w:p>
            <w:pPr>
              <w:spacing w:after="0" w:line="220" w:lineRule="atLeast"/>
              <w:rPr>
                <w:rFonts w:hint="eastAsia" w:ascii="宋体" w:hAnsi="宋体" w:cs="宋体"/>
              </w:rPr>
            </w:pPr>
            <w:r>
              <w:rPr>
                <w:rFonts w:hint="eastAsia" w:ascii="宋体" w:hAnsi="宋体" w:cs="宋体"/>
              </w:rPr>
              <w:t>行政许可</w:t>
            </w:r>
          </w:p>
        </w:tc>
        <w:tc>
          <w:tcPr>
            <w:tcW w:w="803" w:type="dxa"/>
            <w:vAlign w:val="center"/>
          </w:tcPr>
          <w:p>
            <w:pPr>
              <w:spacing w:after="0" w:line="220" w:lineRule="atLeast"/>
              <w:rPr>
                <w:rFonts w:hint="eastAsia" w:ascii="宋体" w:hAnsi="宋体" w:cs="宋体"/>
              </w:rPr>
            </w:pPr>
            <w:r>
              <w:rPr>
                <w:rFonts w:hint="eastAsia" w:ascii="宋体" w:hAnsi="宋体" w:cs="宋体"/>
                <w:lang w:eastAsia="zh-CN"/>
              </w:rPr>
              <w:t>政策法规股</w:t>
            </w:r>
          </w:p>
        </w:tc>
        <w:tc>
          <w:tcPr>
            <w:tcW w:w="1109" w:type="dxa"/>
            <w:vAlign w:val="center"/>
          </w:tcPr>
          <w:p>
            <w:pPr>
              <w:spacing w:line="220" w:lineRule="atLeast"/>
              <w:jc w:val="center"/>
              <w:rPr>
                <w:rFonts w:hint="eastAsia" w:ascii="宋体" w:hAnsi="宋体" w:eastAsia="微软雅黑" w:cs="宋体"/>
                <w:sz w:val="20"/>
                <w:szCs w:val="20"/>
                <w:lang w:val="en-US" w:eastAsia="zh-CN" w:bidi="ar-SA"/>
              </w:rPr>
            </w:pPr>
            <w:r>
              <w:rPr>
                <w:rFonts w:hint="eastAsia" w:ascii="宋体" w:hAnsi="宋体" w:cs="宋体"/>
                <w:sz w:val="20"/>
                <w:szCs w:val="20"/>
                <w:lang w:eastAsia="zh-CN"/>
              </w:rPr>
              <w:t>拟调入</w:t>
            </w:r>
          </w:p>
        </w:tc>
        <w:tc>
          <w:tcPr>
            <w:tcW w:w="2251" w:type="dxa"/>
          </w:tcPr>
          <w:p>
            <w:pPr>
              <w:spacing w:after="0" w:line="220" w:lineRule="atLeast"/>
              <w:rPr>
                <w:rFonts w:hint="eastAsia" w:ascii="宋体" w:hAnsi="宋体" w:cs="宋体"/>
              </w:rPr>
            </w:pPr>
            <w:r>
              <w:rPr>
                <w:rFonts w:hint="eastAsia" w:ascii="宋体" w:hAnsi="宋体" w:cs="宋体"/>
              </w:rPr>
              <w:t>此次机构改革职能划转，划入来源为区建设交通局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0" w:hRule="atLeast"/>
        </w:trPr>
        <w:tc>
          <w:tcPr>
            <w:tcW w:w="534" w:type="dxa"/>
            <w:vAlign w:val="center"/>
          </w:tcPr>
          <w:p>
            <w:pPr>
              <w:spacing w:after="0" w:line="220" w:lineRule="atLeast"/>
              <w:rPr>
                <w:rFonts w:hint="eastAsia" w:ascii="宋体" w:hAnsi="宋体" w:cs="宋体"/>
              </w:rPr>
            </w:pPr>
            <w:r>
              <w:rPr>
                <w:rFonts w:hint="eastAsia" w:ascii="宋体" w:hAnsi="宋体" w:cs="宋体"/>
              </w:rPr>
              <w:t>18</w:t>
            </w:r>
          </w:p>
        </w:tc>
        <w:tc>
          <w:tcPr>
            <w:tcW w:w="2187" w:type="dxa"/>
            <w:vAlign w:val="center"/>
          </w:tcPr>
          <w:p>
            <w:pPr>
              <w:spacing w:after="0" w:line="220" w:lineRule="atLeast"/>
              <w:rPr>
                <w:rFonts w:hint="eastAsia" w:ascii="宋体" w:hAnsi="宋体" w:cs="宋体"/>
              </w:rPr>
            </w:pPr>
            <w:r>
              <w:rPr>
                <w:rFonts w:hint="eastAsia" w:ascii="宋体" w:hAnsi="宋体" w:cs="宋体"/>
              </w:rPr>
              <w:t>改变绿化规划、绿化用地的使用性质审批</w:t>
            </w:r>
          </w:p>
        </w:tc>
        <w:tc>
          <w:tcPr>
            <w:tcW w:w="6742" w:type="dxa"/>
            <w:vAlign w:val="center"/>
          </w:tcPr>
          <w:p>
            <w:pPr>
              <w:spacing w:after="0" w:line="220" w:lineRule="atLeast"/>
              <w:rPr>
                <w:rFonts w:hint="eastAsia" w:ascii="宋体" w:hAnsi="宋体" w:cs="宋体"/>
              </w:rPr>
            </w:pPr>
            <w:r>
              <w:rPr>
                <w:rFonts w:hint="eastAsia" w:ascii="宋体" w:hAnsi="宋体" w:cs="宋体"/>
              </w:rPr>
              <w:t>《城市绿化条例》（1992年国务院令第100号发布，2017年国务院令第676号修订）第十八条 任何单位和个人都不得擅自改变城市绿化规划用地性质或者破坏绿化规划用地的地形、地貌、水体和植被。第十九条第二款 因建设或者其他特殊需要临时占用城市绿化用地，须经城市人民政府城市绿化行政主管部门同意，并按照有关规定办理临时用地手续。《国务院对确需保留的行政审批项目设定行政许可的决定》（国务院令第412号）附件《国务院决定确需保留的行政审批事项目录》第107项。《城市绿线管理办法》（2002年建设部令第112号发布，2011年住建部令第9号修正）第十一条第一款 城市绿线内的用地，不得改作他用，不得违反法律法规、强制性标准以及批准的规划进行开发建设。第三款 因建设或者其他特殊情况，需要临时占用城市绿线内用地的，必须依法办理相关审批手续。</w:t>
            </w:r>
          </w:p>
          <w:p>
            <w:pPr>
              <w:spacing w:after="0" w:line="220" w:lineRule="atLeast"/>
              <w:rPr>
                <w:rFonts w:hint="eastAsia" w:ascii="宋体" w:hAnsi="宋体" w:cs="宋体"/>
              </w:rPr>
            </w:pPr>
          </w:p>
        </w:tc>
        <w:tc>
          <w:tcPr>
            <w:tcW w:w="992" w:type="dxa"/>
            <w:vAlign w:val="center"/>
          </w:tcPr>
          <w:p>
            <w:pPr>
              <w:spacing w:after="0" w:line="220" w:lineRule="atLeast"/>
              <w:rPr>
                <w:rFonts w:hint="eastAsia" w:ascii="宋体" w:hAnsi="宋体" w:cs="宋体"/>
              </w:rPr>
            </w:pPr>
            <w:r>
              <w:rPr>
                <w:rFonts w:hint="eastAsia" w:ascii="宋体" w:hAnsi="宋体" w:cs="宋体"/>
              </w:rPr>
              <w:t>行政许可</w:t>
            </w:r>
          </w:p>
        </w:tc>
        <w:tc>
          <w:tcPr>
            <w:tcW w:w="803" w:type="dxa"/>
            <w:vAlign w:val="center"/>
          </w:tcPr>
          <w:p>
            <w:pPr>
              <w:spacing w:after="0" w:line="220" w:lineRule="atLeast"/>
              <w:rPr>
                <w:rFonts w:hint="eastAsia" w:ascii="宋体" w:hAnsi="宋体" w:cs="宋体"/>
              </w:rPr>
            </w:pPr>
            <w:r>
              <w:rPr>
                <w:rFonts w:hint="eastAsia" w:ascii="宋体" w:hAnsi="宋体" w:cs="宋体"/>
                <w:lang w:eastAsia="zh-CN"/>
              </w:rPr>
              <w:t>政策法规股</w:t>
            </w:r>
          </w:p>
        </w:tc>
        <w:tc>
          <w:tcPr>
            <w:tcW w:w="1109" w:type="dxa"/>
            <w:vAlign w:val="center"/>
          </w:tcPr>
          <w:p>
            <w:pPr>
              <w:spacing w:line="220" w:lineRule="atLeast"/>
              <w:jc w:val="center"/>
              <w:rPr>
                <w:rFonts w:hint="eastAsia" w:ascii="宋体" w:hAnsi="宋体" w:eastAsia="微软雅黑" w:cs="宋体"/>
                <w:sz w:val="20"/>
                <w:szCs w:val="20"/>
                <w:lang w:val="en-US" w:eastAsia="zh-CN" w:bidi="ar-SA"/>
              </w:rPr>
            </w:pPr>
            <w:r>
              <w:rPr>
                <w:rFonts w:hint="eastAsia" w:ascii="宋体" w:hAnsi="宋体" w:cs="宋体"/>
                <w:sz w:val="20"/>
                <w:szCs w:val="20"/>
                <w:lang w:eastAsia="zh-CN"/>
              </w:rPr>
              <w:t>拟调入</w:t>
            </w:r>
          </w:p>
        </w:tc>
        <w:tc>
          <w:tcPr>
            <w:tcW w:w="2251" w:type="dxa"/>
          </w:tcPr>
          <w:p>
            <w:pPr>
              <w:spacing w:after="0" w:line="220" w:lineRule="atLeast"/>
              <w:rPr>
                <w:rFonts w:hint="eastAsia" w:ascii="宋体" w:hAnsi="宋体" w:cs="宋体"/>
              </w:rPr>
            </w:pPr>
            <w:r>
              <w:rPr>
                <w:rFonts w:hint="eastAsia" w:ascii="宋体" w:hAnsi="宋体" w:cs="宋体"/>
              </w:rPr>
              <w:t>此次机构改革职能划转，划入来源为区建设交通局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534" w:type="dxa"/>
            <w:vAlign w:val="center"/>
          </w:tcPr>
          <w:p>
            <w:pPr>
              <w:spacing w:after="0" w:line="220" w:lineRule="atLeast"/>
              <w:rPr>
                <w:rFonts w:hint="eastAsia" w:ascii="宋体" w:hAnsi="宋体" w:cs="宋体"/>
              </w:rPr>
            </w:pPr>
            <w:r>
              <w:rPr>
                <w:rFonts w:hint="eastAsia" w:ascii="宋体" w:hAnsi="宋体" w:cs="宋体"/>
              </w:rPr>
              <w:t>19</w:t>
            </w:r>
          </w:p>
        </w:tc>
        <w:tc>
          <w:tcPr>
            <w:tcW w:w="2187" w:type="dxa"/>
            <w:vAlign w:val="center"/>
          </w:tcPr>
          <w:p>
            <w:pPr>
              <w:spacing w:after="0" w:line="220" w:lineRule="atLeast"/>
              <w:rPr>
                <w:rFonts w:hint="eastAsia" w:ascii="宋体" w:hAnsi="宋体" w:cs="宋体"/>
              </w:rPr>
            </w:pPr>
            <w:r>
              <w:rPr>
                <w:rFonts w:hint="eastAsia" w:ascii="宋体" w:hAnsi="宋体" w:cs="宋体"/>
              </w:rPr>
              <w:t>由于工程施工、设备维修等原因确需停止供水的审批</w:t>
            </w:r>
          </w:p>
        </w:tc>
        <w:tc>
          <w:tcPr>
            <w:tcW w:w="6742" w:type="dxa"/>
            <w:vAlign w:val="center"/>
          </w:tcPr>
          <w:p>
            <w:pPr>
              <w:spacing w:after="0" w:line="220" w:lineRule="atLeast"/>
              <w:rPr>
                <w:rFonts w:hint="eastAsia" w:ascii="宋体" w:hAnsi="宋体" w:cs="宋体"/>
              </w:rPr>
            </w:pPr>
            <w:r>
              <w:rPr>
                <w:rFonts w:hint="eastAsia" w:ascii="宋体" w:hAnsi="宋体" w:cs="宋体"/>
              </w:rPr>
              <w:t>【法规】《城市供水条例》国务院令第158号</w:t>
            </w:r>
            <w:r>
              <w:rPr>
                <w:rFonts w:hint="eastAsia" w:ascii="宋体" w:hAnsi="宋体" w:cs="宋体"/>
                <w:lang w:val="en-US" w:eastAsia="zh-CN"/>
              </w:rPr>
              <w:t xml:space="preserve"> </w:t>
            </w:r>
            <w:r>
              <w:rPr>
                <w:rFonts w:hint="eastAsia" w:ascii="宋体" w:hAnsi="宋体" w:cs="宋体"/>
              </w:rPr>
              <w:t>第二十二条 城市自来水供水企业和自建设施对外供水的企业应当保持不间断供水。由于工程施工、设备维修等原因确需停止供水的，应当经城市供水行政主管部门批准并提前24小时通知用水单位和个人；因发生灾害或者紧急事故，不能提前通知的，应当在抢修的同时通知用水单位和个人，尽快恢复正常供水，并报告城市供水行政主管部门。</w:t>
            </w:r>
          </w:p>
        </w:tc>
        <w:tc>
          <w:tcPr>
            <w:tcW w:w="992" w:type="dxa"/>
            <w:vAlign w:val="center"/>
          </w:tcPr>
          <w:p>
            <w:pPr>
              <w:spacing w:after="0" w:line="220" w:lineRule="atLeast"/>
              <w:rPr>
                <w:rFonts w:hint="eastAsia" w:ascii="宋体" w:hAnsi="宋体" w:cs="宋体"/>
              </w:rPr>
            </w:pPr>
            <w:r>
              <w:rPr>
                <w:rFonts w:hint="eastAsia" w:ascii="宋体" w:hAnsi="宋体" w:cs="宋体"/>
              </w:rPr>
              <w:t>行政许可</w:t>
            </w:r>
          </w:p>
        </w:tc>
        <w:tc>
          <w:tcPr>
            <w:tcW w:w="803" w:type="dxa"/>
            <w:vAlign w:val="center"/>
          </w:tcPr>
          <w:p>
            <w:pPr>
              <w:spacing w:after="0" w:line="220" w:lineRule="atLeast"/>
              <w:rPr>
                <w:rFonts w:hint="eastAsia" w:ascii="宋体" w:hAnsi="宋体" w:cs="宋体"/>
              </w:rPr>
            </w:pPr>
            <w:r>
              <w:rPr>
                <w:rFonts w:hint="eastAsia" w:ascii="宋体" w:hAnsi="宋体" w:cs="宋体"/>
                <w:lang w:eastAsia="zh-CN"/>
              </w:rPr>
              <w:t>政策法规股</w:t>
            </w:r>
          </w:p>
        </w:tc>
        <w:tc>
          <w:tcPr>
            <w:tcW w:w="1109" w:type="dxa"/>
            <w:vAlign w:val="center"/>
          </w:tcPr>
          <w:p>
            <w:pPr>
              <w:spacing w:line="220" w:lineRule="atLeast"/>
              <w:jc w:val="center"/>
              <w:rPr>
                <w:rFonts w:hint="eastAsia" w:ascii="宋体" w:hAnsi="宋体" w:cs="宋体"/>
                <w:sz w:val="20"/>
                <w:szCs w:val="20"/>
                <w:lang w:eastAsia="zh-CN"/>
              </w:rPr>
            </w:pPr>
          </w:p>
          <w:p>
            <w:pPr>
              <w:spacing w:line="220" w:lineRule="atLeast"/>
              <w:jc w:val="both"/>
              <w:rPr>
                <w:rFonts w:hint="eastAsia" w:ascii="宋体" w:hAnsi="宋体" w:eastAsia="微软雅黑" w:cs="宋体"/>
                <w:sz w:val="20"/>
                <w:szCs w:val="20"/>
                <w:lang w:val="en-US" w:eastAsia="zh-CN" w:bidi="ar-SA"/>
              </w:rPr>
            </w:pPr>
            <w:r>
              <w:rPr>
                <w:rFonts w:hint="eastAsia" w:ascii="宋体" w:hAnsi="宋体" w:cs="宋体"/>
                <w:sz w:val="20"/>
                <w:szCs w:val="20"/>
                <w:lang w:eastAsia="zh-CN"/>
              </w:rPr>
              <w:t>拟调入</w:t>
            </w:r>
          </w:p>
        </w:tc>
        <w:tc>
          <w:tcPr>
            <w:tcW w:w="2251" w:type="dxa"/>
          </w:tcPr>
          <w:p>
            <w:pPr>
              <w:spacing w:after="0" w:line="220" w:lineRule="atLeast"/>
              <w:rPr>
                <w:rFonts w:hint="eastAsia" w:ascii="宋体" w:hAnsi="宋体" w:cs="宋体"/>
              </w:rPr>
            </w:pPr>
            <w:r>
              <w:rPr>
                <w:rFonts w:hint="eastAsia" w:ascii="宋体" w:hAnsi="宋体" w:cs="宋体"/>
              </w:rPr>
              <w:t>此次机构改革职能划转，划入来源为区建设交通局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trPr>
        <w:tc>
          <w:tcPr>
            <w:tcW w:w="534" w:type="dxa"/>
            <w:vAlign w:val="center"/>
          </w:tcPr>
          <w:p>
            <w:pPr>
              <w:spacing w:after="0" w:line="220" w:lineRule="atLeast"/>
              <w:rPr>
                <w:rFonts w:hint="eastAsia" w:ascii="宋体" w:hAnsi="宋体" w:cs="宋体"/>
              </w:rPr>
            </w:pPr>
            <w:r>
              <w:rPr>
                <w:rFonts w:hint="eastAsia" w:ascii="宋体" w:hAnsi="宋体" w:cs="宋体"/>
              </w:rPr>
              <w:t>20</w:t>
            </w:r>
          </w:p>
        </w:tc>
        <w:tc>
          <w:tcPr>
            <w:tcW w:w="2187" w:type="dxa"/>
            <w:vAlign w:val="center"/>
          </w:tcPr>
          <w:p>
            <w:pPr>
              <w:spacing w:after="0" w:line="220" w:lineRule="atLeast"/>
              <w:rPr>
                <w:rFonts w:hint="eastAsia" w:ascii="宋体" w:hAnsi="宋体" w:cs="宋体"/>
              </w:rPr>
            </w:pPr>
            <w:r>
              <w:rPr>
                <w:rFonts w:hint="eastAsia" w:ascii="宋体" w:hAnsi="宋体" w:cs="宋体"/>
              </w:rPr>
              <w:t>停止供水（气）、改（迁、拆）公共供水的审批</w:t>
            </w:r>
          </w:p>
        </w:tc>
        <w:tc>
          <w:tcPr>
            <w:tcW w:w="6742" w:type="dxa"/>
            <w:vAlign w:val="center"/>
          </w:tcPr>
          <w:p>
            <w:pPr>
              <w:spacing w:after="0" w:line="220" w:lineRule="atLeast"/>
              <w:rPr>
                <w:rFonts w:hint="eastAsia" w:ascii="宋体" w:hAnsi="宋体" w:cs="宋体"/>
              </w:rPr>
            </w:pPr>
            <w:r>
              <w:rPr>
                <w:rFonts w:hint="eastAsia" w:ascii="宋体" w:hAnsi="宋体" w:cs="宋体"/>
              </w:rPr>
              <w:t>【行政法规】《城市供水条例》（国务院令第158号）</w:t>
            </w:r>
            <w:r>
              <w:rPr>
                <w:rFonts w:hint="eastAsia" w:ascii="宋体" w:hAnsi="宋体" w:cs="宋体"/>
              </w:rPr>
              <w:br w:type="textWrapping"/>
            </w:r>
            <w:r>
              <w:rPr>
                <w:rFonts w:hint="eastAsia" w:ascii="宋体" w:hAnsi="宋体" w:cs="宋体"/>
              </w:rPr>
              <w:t>第二十二条城市自来水供水企业和自建设施对外供水的企业应当保持不间断供水。由于工程施工、设备维修等原因确需停止供水的，应当经城市供水行政主管部门批准并提前24小时通知用水单位和个人，因发生灾害或者紧急事故，不能提前通知的，应当在抢修的同时通知用水单位和个人，尽快恢复正常供水并报告城市供水行政主管部门。</w:t>
            </w:r>
          </w:p>
        </w:tc>
        <w:tc>
          <w:tcPr>
            <w:tcW w:w="992" w:type="dxa"/>
            <w:vAlign w:val="center"/>
          </w:tcPr>
          <w:p>
            <w:pPr>
              <w:spacing w:after="0" w:line="220" w:lineRule="atLeast"/>
              <w:rPr>
                <w:rFonts w:hint="eastAsia" w:ascii="宋体" w:hAnsi="宋体" w:cs="宋体"/>
              </w:rPr>
            </w:pPr>
            <w:r>
              <w:rPr>
                <w:rFonts w:hint="eastAsia" w:ascii="宋体" w:hAnsi="宋体" w:cs="宋体"/>
              </w:rPr>
              <w:t>行政许可</w:t>
            </w:r>
          </w:p>
        </w:tc>
        <w:tc>
          <w:tcPr>
            <w:tcW w:w="803" w:type="dxa"/>
            <w:vAlign w:val="center"/>
          </w:tcPr>
          <w:p>
            <w:pPr>
              <w:spacing w:after="0" w:line="220" w:lineRule="atLeast"/>
              <w:rPr>
                <w:rFonts w:hint="eastAsia" w:ascii="宋体" w:hAnsi="宋体" w:cs="宋体"/>
              </w:rPr>
            </w:pPr>
            <w:r>
              <w:rPr>
                <w:rFonts w:hint="eastAsia" w:ascii="宋体" w:hAnsi="宋体" w:cs="宋体"/>
                <w:lang w:eastAsia="zh-CN"/>
              </w:rPr>
              <w:t>政策法规股</w:t>
            </w:r>
          </w:p>
        </w:tc>
        <w:tc>
          <w:tcPr>
            <w:tcW w:w="1109" w:type="dxa"/>
          </w:tcPr>
          <w:p>
            <w:pPr>
              <w:spacing w:after="0" w:line="220" w:lineRule="atLeast"/>
              <w:rPr>
                <w:rFonts w:hint="eastAsia" w:ascii="宋体" w:hAnsi="宋体" w:cs="宋体"/>
              </w:rPr>
            </w:pPr>
          </w:p>
        </w:tc>
        <w:tc>
          <w:tcPr>
            <w:tcW w:w="2251" w:type="dxa"/>
          </w:tcPr>
          <w:p>
            <w:pPr>
              <w:spacing w:after="0" w:line="220" w:lineRule="atLeast"/>
              <w:rPr>
                <w:rFonts w:hint="eastAsia" w:ascii="宋体" w:hAnsi="宋体" w:cs="宋体"/>
              </w:rPr>
            </w:pPr>
            <w:r>
              <w:rPr>
                <w:rFonts w:hint="eastAsia" w:ascii="宋体" w:hAnsi="宋体" w:cs="宋体"/>
              </w:rPr>
              <w:t>此次机构改革职能划转，划入来源为区建设交通局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534" w:type="dxa"/>
            <w:vAlign w:val="center"/>
          </w:tcPr>
          <w:p>
            <w:pPr>
              <w:spacing w:after="0" w:line="220" w:lineRule="atLeast"/>
              <w:rPr>
                <w:rFonts w:hint="eastAsia" w:ascii="宋体" w:hAnsi="宋体" w:cs="宋体"/>
              </w:rPr>
            </w:pPr>
            <w:r>
              <w:rPr>
                <w:rFonts w:hint="eastAsia" w:ascii="宋体" w:hAnsi="宋体" w:cs="宋体"/>
              </w:rPr>
              <w:t>21</w:t>
            </w:r>
          </w:p>
        </w:tc>
        <w:tc>
          <w:tcPr>
            <w:tcW w:w="2187" w:type="dxa"/>
            <w:vAlign w:val="center"/>
          </w:tcPr>
          <w:p>
            <w:pPr>
              <w:spacing w:after="0" w:line="220" w:lineRule="atLeast"/>
              <w:rPr>
                <w:rFonts w:hint="eastAsia" w:ascii="宋体" w:hAnsi="宋体" w:cs="宋体"/>
              </w:rPr>
            </w:pPr>
            <w:r>
              <w:rPr>
                <w:rFonts w:hint="eastAsia" w:ascii="宋体" w:hAnsi="宋体" w:cs="宋体"/>
              </w:rPr>
              <w:t>迁移古树名木审批</w:t>
            </w:r>
          </w:p>
        </w:tc>
        <w:tc>
          <w:tcPr>
            <w:tcW w:w="6742" w:type="dxa"/>
            <w:vAlign w:val="center"/>
          </w:tcPr>
          <w:p>
            <w:pPr>
              <w:spacing w:after="0" w:line="220" w:lineRule="atLeast"/>
              <w:rPr>
                <w:rFonts w:hint="eastAsia" w:ascii="宋体" w:hAnsi="宋体" w:cs="宋体"/>
              </w:rPr>
            </w:pPr>
            <w:r>
              <w:rPr>
                <w:rFonts w:hint="eastAsia" w:ascii="宋体" w:hAnsi="宋体" w:cs="宋体"/>
              </w:rPr>
              <w:t>《城市绿化条例》(国务院令第588号修订)第二十五条 因特殊需要迁移古树名木，必须经城市人民政府城市绿化行政主管部门审查同意，并报同级或者上级人民政府批准。</w:t>
            </w:r>
          </w:p>
        </w:tc>
        <w:tc>
          <w:tcPr>
            <w:tcW w:w="992" w:type="dxa"/>
            <w:vAlign w:val="center"/>
          </w:tcPr>
          <w:p>
            <w:pPr>
              <w:spacing w:after="0" w:line="220" w:lineRule="atLeast"/>
              <w:rPr>
                <w:rFonts w:hint="eastAsia" w:ascii="宋体" w:hAnsi="宋体" w:cs="宋体"/>
              </w:rPr>
            </w:pPr>
            <w:r>
              <w:rPr>
                <w:rFonts w:hint="eastAsia" w:ascii="宋体" w:hAnsi="宋体" w:cs="宋体"/>
              </w:rPr>
              <w:t>行政许可</w:t>
            </w:r>
          </w:p>
        </w:tc>
        <w:tc>
          <w:tcPr>
            <w:tcW w:w="803" w:type="dxa"/>
            <w:vAlign w:val="center"/>
          </w:tcPr>
          <w:p>
            <w:pPr>
              <w:spacing w:after="0" w:line="220" w:lineRule="atLeast"/>
              <w:rPr>
                <w:rFonts w:hint="eastAsia" w:ascii="宋体" w:hAnsi="宋体" w:cs="宋体"/>
              </w:rPr>
            </w:pPr>
            <w:r>
              <w:rPr>
                <w:rFonts w:hint="eastAsia" w:ascii="宋体" w:hAnsi="宋体" w:cs="宋体"/>
                <w:lang w:eastAsia="zh-CN"/>
              </w:rPr>
              <w:t>政策法规股</w:t>
            </w:r>
          </w:p>
        </w:tc>
        <w:tc>
          <w:tcPr>
            <w:tcW w:w="1109" w:type="dxa"/>
          </w:tcPr>
          <w:p>
            <w:pPr>
              <w:spacing w:after="0" w:line="220" w:lineRule="atLeast"/>
              <w:rPr>
                <w:rFonts w:hint="eastAsia" w:ascii="宋体" w:hAnsi="宋体" w:cs="宋体"/>
              </w:rPr>
            </w:pPr>
          </w:p>
        </w:tc>
        <w:tc>
          <w:tcPr>
            <w:tcW w:w="2251" w:type="dxa"/>
          </w:tcPr>
          <w:p>
            <w:pPr>
              <w:spacing w:after="0" w:line="220" w:lineRule="atLeast"/>
              <w:rPr>
                <w:rFonts w:hint="eastAsia" w:ascii="宋体" w:hAnsi="宋体" w:cs="宋体"/>
              </w:rPr>
            </w:pPr>
            <w:r>
              <w:rPr>
                <w:rFonts w:hint="eastAsia" w:ascii="宋体" w:hAnsi="宋体" w:cs="宋体"/>
              </w:rPr>
              <w:t>此次机构改革职能划转，划入来源为区建设交通局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trPr>
        <w:tc>
          <w:tcPr>
            <w:tcW w:w="534" w:type="dxa"/>
            <w:vAlign w:val="center"/>
          </w:tcPr>
          <w:p>
            <w:pPr>
              <w:spacing w:after="0" w:line="220" w:lineRule="atLeast"/>
              <w:rPr>
                <w:rFonts w:hint="eastAsia" w:ascii="宋体" w:hAnsi="宋体" w:cs="宋体"/>
              </w:rPr>
            </w:pPr>
            <w:r>
              <w:rPr>
                <w:rFonts w:hint="eastAsia" w:ascii="宋体" w:hAnsi="宋体" w:cs="宋体"/>
              </w:rPr>
              <w:t>22</w:t>
            </w:r>
          </w:p>
        </w:tc>
        <w:tc>
          <w:tcPr>
            <w:tcW w:w="2187" w:type="dxa"/>
            <w:vAlign w:val="center"/>
          </w:tcPr>
          <w:p>
            <w:pPr>
              <w:spacing w:after="0" w:line="220" w:lineRule="atLeast"/>
              <w:rPr>
                <w:rFonts w:hint="eastAsia" w:ascii="宋体" w:hAnsi="宋体" w:cs="宋体"/>
              </w:rPr>
            </w:pPr>
            <w:r>
              <w:rPr>
                <w:rFonts w:hint="eastAsia" w:ascii="宋体" w:hAnsi="宋体" w:cs="宋体"/>
              </w:rPr>
              <w:t>特殊车辆在城市道路上行驶（包括经过城市桥梁）审批</w:t>
            </w:r>
          </w:p>
        </w:tc>
        <w:tc>
          <w:tcPr>
            <w:tcW w:w="6742" w:type="dxa"/>
            <w:vAlign w:val="center"/>
          </w:tcPr>
          <w:p>
            <w:pPr>
              <w:spacing w:after="0" w:line="220" w:lineRule="atLeast"/>
              <w:rPr>
                <w:rFonts w:hint="eastAsia" w:ascii="宋体" w:hAnsi="宋体" w:cs="宋体"/>
              </w:rPr>
            </w:pPr>
            <w:r>
              <w:rPr>
                <w:rFonts w:hint="eastAsia" w:ascii="宋体" w:hAnsi="宋体" w:cs="宋体"/>
              </w:rPr>
              <w:t>《中华人民共和国公路法》第四十八条：“除农业机械因当地田间作业需要在公路上短距离行使外，铁轮车、履带车和其他可能损害公路路面的机具，不得在公路上行驶。确需行驶的，必须经县级以上地方人民政府交通主管部门同意，采取有效的防护措施，并按照公安机关指定的时间、路线行驶。”第八条第四款“县级以上地方人民政府交通主管部门可以决定由公路管理机构依照本法规定行使公路行政管理职责。”</w:t>
            </w:r>
          </w:p>
        </w:tc>
        <w:tc>
          <w:tcPr>
            <w:tcW w:w="992" w:type="dxa"/>
            <w:vAlign w:val="center"/>
          </w:tcPr>
          <w:p>
            <w:pPr>
              <w:spacing w:after="0" w:line="220" w:lineRule="atLeast"/>
              <w:rPr>
                <w:rFonts w:hint="eastAsia" w:ascii="宋体" w:hAnsi="宋体" w:cs="宋体"/>
              </w:rPr>
            </w:pPr>
            <w:r>
              <w:rPr>
                <w:rFonts w:hint="eastAsia" w:ascii="宋体" w:hAnsi="宋体" w:cs="宋体"/>
              </w:rPr>
              <w:t>行政许可</w:t>
            </w:r>
          </w:p>
        </w:tc>
        <w:tc>
          <w:tcPr>
            <w:tcW w:w="803" w:type="dxa"/>
            <w:vAlign w:val="center"/>
          </w:tcPr>
          <w:p>
            <w:pPr>
              <w:spacing w:after="0" w:line="220" w:lineRule="atLeast"/>
              <w:rPr>
                <w:rFonts w:hint="eastAsia" w:ascii="宋体" w:hAnsi="宋体" w:cs="宋体"/>
              </w:rPr>
            </w:pPr>
            <w:r>
              <w:rPr>
                <w:rFonts w:hint="eastAsia" w:ascii="宋体" w:hAnsi="宋体" w:cs="宋体"/>
                <w:lang w:eastAsia="zh-CN"/>
              </w:rPr>
              <w:t>政策法规股</w:t>
            </w:r>
          </w:p>
        </w:tc>
        <w:tc>
          <w:tcPr>
            <w:tcW w:w="1109" w:type="dxa"/>
          </w:tcPr>
          <w:p>
            <w:pPr>
              <w:spacing w:after="0" w:line="220" w:lineRule="atLeast"/>
              <w:rPr>
                <w:rFonts w:hint="eastAsia" w:ascii="宋体" w:hAnsi="宋体" w:cs="宋体"/>
              </w:rPr>
            </w:pPr>
          </w:p>
        </w:tc>
        <w:tc>
          <w:tcPr>
            <w:tcW w:w="2251" w:type="dxa"/>
          </w:tcPr>
          <w:p>
            <w:pPr>
              <w:spacing w:after="0" w:line="220" w:lineRule="atLeast"/>
              <w:rPr>
                <w:rFonts w:hint="eastAsia" w:ascii="宋体" w:hAnsi="宋体" w:cs="宋体"/>
              </w:rPr>
            </w:pPr>
            <w:r>
              <w:rPr>
                <w:rFonts w:hint="eastAsia" w:ascii="宋体" w:hAnsi="宋体" w:cs="宋体"/>
              </w:rPr>
              <w:t>此次机构改革职能划转，划入来源为区建设交通局</w:t>
            </w:r>
          </w:p>
        </w:tc>
      </w:tr>
    </w:tbl>
    <w:p>
      <w:pPr>
        <w:spacing w:after="0" w:line="220" w:lineRule="atLeast"/>
        <w:rPr>
          <w:rFonts w:hint="eastAsia" w:ascii="宋体" w:hAnsi="宋体" w:cs="宋体"/>
        </w:rPr>
      </w:pPr>
    </w:p>
    <w:sectPr>
      <w:footerReference r:id="rId3" w:type="default"/>
      <w:pgSz w:w="16838" w:h="11906" w:orient="landscape"/>
      <w:pgMar w:top="1644" w:right="1474" w:bottom="1417" w:left="158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05CC7"/>
    <w:rsid w:val="000474D6"/>
    <w:rsid w:val="0006245C"/>
    <w:rsid w:val="00091197"/>
    <w:rsid w:val="000A5E74"/>
    <w:rsid w:val="000E3215"/>
    <w:rsid w:val="0010687B"/>
    <w:rsid w:val="001675F4"/>
    <w:rsid w:val="001A0273"/>
    <w:rsid w:val="001A4356"/>
    <w:rsid w:val="001F7C5E"/>
    <w:rsid w:val="002370EA"/>
    <w:rsid w:val="002868CA"/>
    <w:rsid w:val="00323B43"/>
    <w:rsid w:val="00362211"/>
    <w:rsid w:val="003D37D8"/>
    <w:rsid w:val="00426133"/>
    <w:rsid w:val="004358AB"/>
    <w:rsid w:val="00436891"/>
    <w:rsid w:val="00481EA0"/>
    <w:rsid w:val="004855B9"/>
    <w:rsid w:val="004A507F"/>
    <w:rsid w:val="00527C7C"/>
    <w:rsid w:val="00551722"/>
    <w:rsid w:val="00574123"/>
    <w:rsid w:val="005D2146"/>
    <w:rsid w:val="005D7482"/>
    <w:rsid w:val="005F20C3"/>
    <w:rsid w:val="00633EB4"/>
    <w:rsid w:val="00680CF9"/>
    <w:rsid w:val="006A426A"/>
    <w:rsid w:val="006A5CCE"/>
    <w:rsid w:val="00704019"/>
    <w:rsid w:val="00707321"/>
    <w:rsid w:val="0079182C"/>
    <w:rsid w:val="007B55A0"/>
    <w:rsid w:val="007C0C9D"/>
    <w:rsid w:val="00823E6B"/>
    <w:rsid w:val="00843FD5"/>
    <w:rsid w:val="008B7726"/>
    <w:rsid w:val="008F0528"/>
    <w:rsid w:val="009F19DD"/>
    <w:rsid w:val="00A73888"/>
    <w:rsid w:val="00A76A70"/>
    <w:rsid w:val="00AA2EB2"/>
    <w:rsid w:val="00AE449C"/>
    <w:rsid w:val="00B04B3B"/>
    <w:rsid w:val="00BF26FE"/>
    <w:rsid w:val="00C33264"/>
    <w:rsid w:val="00C91650"/>
    <w:rsid w:val="00D31D50"/>
    <w:rsid w:val="00D62256"/>
    <w:rsid w:val="00D657E7"/>
    <w:rsid w:val="00D67082"/>
    <w:rsid w:val="00DE261B"/>
    <w:rsid w:val="00E309A7"/>
    <w:rsid w:val="00E318E1"/>
    <w:rsid w:val="00E42726"/>
    <w:rsid w:val="00EA45F4"/>
    <w:rsid w:val="00F10495"/>
    <w:rsid w:val="00F1062B"/>
    <w:rsid w:val="00F704A4"/>
    <w:rsid w:val="00F74F09"/>
    <w:rsid w:val="00F81B3C"/>
    <w:rsid w:val="00F92FC1"/>
    <w:rsid w:val="00FF71F0"/>
    <w:rsid w:val="15436860"/>
    <w:rsid w:val="253C27F4"/>
    <w:rsid w:val="29AE4B8F"/>
    <w:rsid w:val="2C5E199E"/>
    <w:rsid w:val="443249ED"/>
    <w:rsid w:val="46885BA6"/>
    <w:rsid w:val="4AFD0A4D"/>
    <w:rsid w:val="4F91056C"/>
    <w:rsid w:val="6695743D"/>
    <w:rsid w:val="6BB933ED"/>
    <w:rsid w:val="6CBE4F9B"/>
    <w:rsid w:val="72CF51D2"/>
    <w:rsid w:val="79191993"/>
    <w:rsid w:val="7D642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semiHidden/>
    <w:unhideWhenUsed/>
    <w:qFormat/>
    <w:uiPriority w:val="99"/>
    <w:pPr>
      <w:tabs>
        <w:tab w:val="center" w:pos="4153"/>
        <w:tab w:val="right" w:pos="8306"/>
      </w:tabs>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table" w:styleId="7">
    <w:name w:val="Table Grid"/>
    <w:basedOn w:val="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4"/>
    <w:semiHidden/>
    <w:qFormat/>
    <w:uiPriority w:val="99"/>
    <w:rPr>
      <w:rFonts w:ascii="Tahoma" w:hAnsi="Tahoma"/>
      <w:sz w:val="18"/>
      <w:szCs w:val="18"/>
    </w:rPr>
  </w:style>
  <w:style w:type="character" w:customStyle="1" w:styleId="12">
    <w:name w:val="页脚 Char"/>
    <w:basedOn w:val="8"/>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1020</Words>
  <Characters>5818</Characters>
  <Lines>48</Lines>
  <Paragraphs>13</Paragraphs>
  <TotalTime>0</TotalTime>
  <ScaleCrop>false</ScaleCrop>
  <LinksUpToDate>false</LinksUpToDate>
  <CharactersWithSpaces>6825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家春秋</cp:lastModifiedBy>
  <cp:lastPrinted>2019-12-10T02:58:00Z</cp:lastPrinted>
  <dcterms:modified xsi:type="dcterms:W3CDTF">2019-12-19T02:28:10Z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