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left="0" w:right="0" w:firstLine="22"/>
        <w:rPr>
          <w:spacing w:val="0"/>
          <w:b w:val="1"/>
          <w:color w:val="000000"/>
          <w:position w:val="0"/>
          <w:sz w:val="52"/>
          <w:szCs w:val="52"/>
          <w:rFonts w:ascii="黑体" w:eastAsia="黑体" w:hAnsi="黑体" w:hint="default"/>
        </w:rPr>
        <w:wordWrap w:val="off"/>
        <w:snapToGrid w:val="on"/>
        <w:autoSpaceDE w:val="0"/>
        <w:autoSpaceDN w:val="0"/>
      </w:pPr>
      <w:r>
        <w:rPr>
          <w:spacing w:val="0"/>
          <w:b w:val="1"/>
          <w:color w:val="000000"/>
          <w:position w:val="0"/>
          <w:sz w:val="52"/>
          <w:szCs w:val="52"/>
          <w:rFonts w:ascii="黑体" w:eastAsia="黑体" w:hAnsi="黑体" w:hint="default"/>
        </w:rPr>
        <w:t>石龙区</w:t>
      </w:r>
      <w:r>
        <w:rPr>
          <w:spacing w:val="0"/>
          <w:b w:val="1"/>
          <w:color w:val="000000"/>
          <w:position w:val="0"/>
          <w:sz w:val="52"/>
          <w:szCs w:val="52"/>
          <w:rFonts w:ascii="黑体" w:eastAsia="黑体" w:hAnsi="黑体" w:hint="eastAsia"/>
          <w:lang w:eastAsia="zh-CN"/>
        </w:rPr>
        <w:t>卫生健康</w:t>
      </w:r>
      <w:r>
        <w:rPr>
          <w:spacing w:val="0"/>
          <w:b w:val="1"/>
          <w:color w:val="000000"/>
          <w:position w:val="0"/>
          <w:sz w:val="52"/>
          <w:szCs w:val="52"/>
          <w:rFonts w:ascii="黑体" w:eastAsia="黑体" w:hAnsi="黑体" w:hint="default"/>
        </w:rPr>
        <w:t>委员会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left="0" w:right="0" w:firstLine="22"/>
        <w:rPr>
          <w:spacing w:val="0"/>
          <w:b w:val="1"/>
          <w:color w:val="000000"/>
          <w:position w:val="0"/>
          <w:sz w:val="52"/>
          <w:szCs w:val="52"/>
          <w:rFonts w:ascii="黑体" w:eastAsia="黑体" w:hAnsi="黑体" w:hint="default"/>
        </w:rPr>
        <w:wordWrap w:val="off"/>
        <w:snapToGrid w:val="on"/>
        <w:autoSpaceDE w:val="0"/>
        <w:autoSpaceDN w:val="0"/>
      </w:pPr>
      <w:r>
        <w:rPr>
          <w:spacing w:val="0"/>
          <w:b w:val="1"/>
          <w:color w:val="000000"/>
          <w:position w:val="0"/>
          <w:sz w:val="52"/>
          <w:szCs w:val="52"/>
          <w:rFonts w:ascii="黑体" w:eastAsia="黑体" w:hAnsi="黑体" w:hint="eastAsia"/>
          <w:lang w:eastAsia="zh-CN" w:val="en-US"/>
        </w:rPr>
        <w:t>2020</w:t>
      </w:r>
      <w:r>
        <w:rPr>
          <w:spacing w:val="0"/>
          <w:b w:val="1"/>
          <w:color w:val="000000"/>
          <w:position w:val="0"/>
          <w:sz w:val="52"/>
          <w:szCs w:val="52"/>
          <w:rFonts w:ascii="黑体" w:eastAsia="黑体" w:hAnsi="黑体" w:hint="default"/>
        </w:rPr>
        <w:t>年部门预算说明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3930"/>
        <w:rPr>
          <w:spacing w:val="0"/>
          <w:b w:val="1"/>
          <w:color w:val="auto"/>
          <w:position w:val="0"/>
          <w:sz w:val="27"/>
          <w:szCs w:val="27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1"/>
          <w:color w:val="auto"/>
          <w:position w:val="0"/>
          <w:sz w:val="27"/>
          <w:szCs w:val="27"/>
          <w:rFonts w:ascii="宋体" w:eastAsia="宋体" w:hAnsi="宋体" w:hint="default"/>
        </w:rPr>
        <w:t xml:space="preserve"> 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3930"/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t xml:space="preserve"> 目　录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第一部分　部门预算基本概况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一、部门机构设置情况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二、主要职责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第二部分　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年度部门预算情况说明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第三部分　名词解释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附件： 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年度部门预算表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一、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年部门收支总体情况表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二、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年部门收入总体情况表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三、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年部门支出总体情况表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四、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年财政拨款收支总体情况表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五、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年一般公共预算支出情况表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t>六、一般公共预算基本支出情况说明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七、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年支出经济分类汇总表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八、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年一般公共预算“三公”经费支出情况表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九、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年政府性基金预算支出情况表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十、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年国有资本经营情况统计表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十一、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年政府采购情况表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22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left="0" w:right="0" w:firstLine="22"/>
        <w:rPr>
          <w:spacing w:val="0"/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0"/>
          <w:szCs w:val="30"/>
          <w:rFonts w:ascii="宋体" w:eastAsia="宋体" w:hAnsi="宋体" w:hint="default"/>
        </w:rPr>
        <w:t xml:space="preserve"> </w:t>
      </w:r>
      <w:r>
        <w:rPr>
          <w:spacing w:val="0"/>
          <w:b w:val="1"/>
          <w:color w:val="auto"/>
          <w:position w:val="0"/>
          <w:sz w:val="30"/>
          <w:szCs w:val="30"/>
          <w:rFonts w:ascii="宋体" w:eastAsia="宋体" w:hAnsi="宋体" w:hint="default"/>
        </w:rPr>
        <w:t xml:space="preserve">第一部分 石龙区</w:t>
      </w:r>
      <w:r>
        <w:rPr>
          <w:spacing w:val="0"/>
          <w:b w:val="1"/>
          <w:color w:val="auto"/>
          <w:position w:val="0"/>
          <w:sz w:val="30"/>
          <w:szCs w:val="30"/>
          <w:rFonts w:ascii="宋体" w:hAnsi="宋体" w:hint="eastAsia"/>
          <w:lang w:eastAsia="zh-CN"/>
        </w:rPr>
        <w:t>卫生健康</w:t>
      </w:r>
      <w:r>
        <w:rPr>
          <w:spacing w:val="0"/>
          <w:b w:val="1"/>
          <w:color w:val="auto"/>
          <w:position w:val="0"/>
          <w:sz w:val="30"/>
          <w:szCs w:val="30"/>
          <w:rFonts w:ascii="宋体" w:eastAsia="宋体" w:hAnsi="宋体" w:hint="default"/>
        </w:rPr>
        <w:t>委员会部门预算基本概况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0"/>
          <w:szCs w:val="30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1"/>
          <w:color w:val="auto"/>
          <w:position w:val="0"/>
          <w:sz w:val="30"/>
          <w:szCs w:val="30"/>
          <w:rFonts w:ascii="仿宋_GB2312" w:eastAsia="仿宋_GB2312" w:hAnsi="仿宋_GB2312" w:hint="default"/>
        </w:rPr>
        <w:t xml:space="preserve"> </w:t>
      </w:r>
      <w:r>
        <w:rPr>
          <w:spacing w:val="0"/>
          <w:b w:val="0"/>
          <w:color w:val="auto"/>
          <w:position w:val="0"/>
          <w:sz w:val="30"/>
          <w:szCs w:val="30"/>
          <w:rFonts w:ascii="仿宋_GB2312" w:eastAsia="仿宋_GB2312" w:hAnsi="仿宋_GB2312" w:hint="default"/>
        </w:rPr>
        <w:t xml:space="preserve">  </w:t>
      </w:r>
      <w:r>
        <w:rPr>
          <w:spacing w:val="0"/>
          <w:b w:val="0"/>
          <w:color w:val="auto"/>
          <w:position w:val="0"/>
          <w:sz w:val="30"/>
          <w:szCs w:val="30"/>
          <w:rFonts w:ascii="宋体" w:eastAsia="宋体" w:hAnsi="宋体" w:hint="default"/>
        </w:rPr>
        <w:t>一、部门机构设置及人员构成情况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</w:t>
      </w:r>
      <w:r>
        <w:rPr>
          <w:spacing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年度石龙区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卫生健康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委员会预算公开情况为本级预算和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其中6个下属二级机构预算。内设办公室、医政基妇科、法治应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急综合科3个机构，下设7个二级机构（石龙区人口和计划生育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指导站，石龙区流动人口管理办公室，石龙区药具管理站，石龙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区卫生监督管理所，石龙区疾病预防控制中心，石龙区妇幼保健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站，石龙区社区医疗服务中心）。石龙区计生协会和石龙区红十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字会为我委联署办公单位。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   机构编制68名，行政编制3名，事业编制65名。其中：副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县级2名，正科级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3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名，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主任科员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1名，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副科级4名，纪检组长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1名，实有人数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64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人，其中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61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人为财政全供编制，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3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人为自收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自支编制。离休人员1人，退休人员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23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人。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   石龙区卫健委部门预算包括本级预算、下属单位及合署办公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单位预算。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1423" w:right="0" w:hanging="623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1、石龙区人口和计划生育指导站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1423" w:right="0" w:hanging="623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2、石龙区流动人口管理办公室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1423" w:right="0" w:hanging="623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3、石龙区药具管理站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1423" w:right="0" w:hanging="623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4、石龙区卫生监督管理所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1423" w:right="0" w:hanging="623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6、石龙区疾病预防控制中心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1423" w:right="0" w:hanging="623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7、石龙区妇幼保健站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1423" w:right="0" w:hanging="623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8、石龙区计生协会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1423" w:right="0" w:hanging="623"/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9、石龙区红十字会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675"/>
        <w:rPr>
          <w:spacing w:val="0"/>
          <w:b w:val="0"/>
          <w:color w:val="333333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二、主要职责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（一）贯彻执行党和国家关于卫生和计划生育工作的法律、法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规和方针、政策；组织实施卫生和计划生育地方性法规、政府规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章、政策规划、地方标准和技术规范。起草全区卫生和计划生育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规范性文件，提出并拟定完善卫生和计划生育政策措施。负责协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调推进全区医疗保障工作，统筹规划全区卫生和计划生育服务资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源配置，指导全区卫生和计划生育规划的编制和实施。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（二）负责制定全区疾病预防控制规划、免疫规划、严重危害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人民健康的公共卫生问题的干预措施并组织落实，根据国家检疫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传染病和监测传染病目录，建立卫生应急体系，制定全区卫生应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急和紧急医学救援预案，负责突发公共卫生事件监测预警和风险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评估，组织和指导全区突发公共卫生事件预防控制和各类突发公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共事件的医疗卫生救援，根据授权发布突发公共卫生事件应急处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置信息。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（三）负责制订全区卫生监督发展规划和政策措施，负责组织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实施职责范围内的职业卫生、放射卫生、环境卫生、学校卫生、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公共场所卫生相关监测、调查、评估和监督工作，负责传染病防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治监督工作。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（四）负责制定全区农村卫生、社区卫生、妇幼卫生发展规划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和政策措施，全区基层卫生和计划生育、妇幼卫生服务体系建设，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负责妇幼保健的综合管理和监督，推进基本公共卫生和计划生育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服务均等化，完善基层运行新机制和乡村医生管理制度。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（五）负责制定全区医疗机构和医疗服务全行业管理办法。贯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彻落实上级卫生和计划生育行政部门制定的医疗机构及其医疗服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务、医疗技术、医疗质量、医疗安全的规范，贯彻执行国家卫生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专业技术人员准入、资格标准，组织实施卫生专业技术人员执业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规则和服务规范，建立医疗服务评价和监督管理体系。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（六）贯彻落实国家药物政策和国家基本药物制度。参与实施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国家药品法典和国家基本药物目录。组织实施基本药物采购、配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送、使用的政策措施。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（七）贯彻落实生育政策，组织实施促进全区出生人口性别平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衡的政策措施，组织监测计划生育发展动态，提出发布计划生育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安全预警预报信息建议。制定计划生育技术服务管理制度并监督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实施。制定优生优育和提高出生人口素质的政策措施并组织实施，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推动实施计划生育生殖健康促进计划，降低出生缺陷人口数量。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（八）组织建立计划生育利益导向、计划生育特殊困难家庭扶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助和促进计划生育家庭发展等制度、机制。负责协调推进有关部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门、群众团体履行计划生育工作相关职责，建立与经济社会发展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政策衔接机制，提出稳定低生育水平的政策措施。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（九）制定流动人口计划生育服务管理制度并组织落实，推动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建立流动人口计划生育信息共享和公共服务工作机制。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（十）负责研究制定全区卫生和计划生育人才发展规划，加强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卫生和计划生育人才队伍建设，在上级主管部门和人事部门的领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导下，进行卫生技术人员资格的初步认定工作。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（十一）组织拟订全区卫生和计划生育科技发展规划，组织科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技攻关、成果鉴定、技术开发和成果推广；组织专业技术人员和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管理人员岗位（专业）培训和继续教育的行政管理工作。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（十二）指导全区卫生和计划生育工作，完善综合监督执法体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系，规范执法行为，监督检查法律、法规和政策措施落实，组织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查处重大违法行为。监督落实计划生育一票否决制。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（十三）负责卫生和计划生育宣传、健康教育、健康促进和信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息化建设等工作，依法组织开展统计调查，参与人口基础信息库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建设。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（十四）制定全区中医药中长期发展规划，并纳入卫生和计划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生育事业发展总体规划和战略目标。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（十五）负责全区卫生系统职业道德教育、法制教育，促进卫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生行业的社会主义精神文明建设。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（十六）承担在石龙区召开的重要会议、重大活动的卫生保障</w:t>
      </w: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工作。</w:t>
      </w:r>
    </w:p>
    <w:p>
      <w:pPr>
        <w:bidi w:val="0"/>
        <w:numPr>
          <w:ilvl w:val="0"/>
          <w:numId w:val="0"/>
        </w:numPr>
        <w:jc w:val="both"/>
        <w:spacing w:lineRule="atLeast" w:line="480" w:before="0" w:after="0"/>
        <w:pageBreakBefore w:val="0"/>
        <w:ind w:left="0" w:right="0" w:firstLine="420"/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333333"/>
          <w:position w:val="0"/>
          <w:sz w:val="32"/>
          <w:szCs w:val="32"/>
          <w:rFonts w:ascii="宋体" w:eastAsia="宋体" w:hAnsi="宋体" w:hint="default"/>
        </w:rPr>
        <w:t>（十七）承办区政府交办的其他事项。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640" w:right="0" w:hanging="640"/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</w:p>
    <w:p>
      <w:pPr>
        <w:bidi w:val="0"/>
        <w:numPr>
          <w:ilvl w:val="0"/>
          <w:numId w:val="1"/>
        </w:numPr>
        <w:jc w:val="center"/>
        <w:spacing w:lineRule="auto" w:line="240" w:before="0" w:after="0"/>
        <w:pageBreakBefore w:val="0"/>
        <w:ind w:left="640" w:right="0" w:hanging="640"/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石龙区</w:t>
      </w:r>
      <w:r>
        <w:rPr>
          <w:spacing w:val="0"/>
          <w:b w:val="1"/>
          <w:color w:val="auto"/>
          <w:position w:val="0"/>
          <w:sz w:val="32"/>
          <w:szCs w:val="32"/>
          <w:rFonts w:ascii="宋体" w:hAnsi="宋体" w:hint="eastAsia"/>
          <w:lang w:eastAsia="zh-CN"/>
        </w:rPr>
        <w:t>卫生健康</w:t>
      </w:r>
      <w:r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委员会部门预算情况说</w:t>
      </w:r>
      <w:r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eastAsia"/>
          <w:lang w:eastAsia="zh-CN"/>
        </w:rPr>
        <w:t>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640" w:right="0" w:hanging="640"/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color w:val="000000"/>
          <w:sz w:val="32"/>
          <w:szCs w:val="32"/>
          <w:rFonts w:ascii="仿宋_GB2312" w:eastAsia="仿宋_GB2312" w:hAnsi="仿宋_GB2312" w:cs="仿宋_GB2312" w:hint="eastAsia"/>
        </w:rPr>
        <w:t xml:space="preserve">  </w:t>
      </w:r>
      <w:r>
        <w:rPr>
          <w:b w:val="1"/>
          <w:color w:val="000000"/>
          <w:sz w:val="32"/>
          <w:szCs w:val="32"/>
          <w:rFonts w:ascii="仿宋_GB2312" w:eastAsia="仿宋_GB2312" w:hAnsi="仿宋_GB2312" w:cs="仿宋_GB2312" w:hint="eastAsia"/>
        </w:rPr>
        <w:t xml:space="preserve"> 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640" w:right="0" w:hanging="640"/>
        <w:rPr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0"/>
        <w:autoSpaceDN w:val="0"/>
      </w:pPr>
      <w:r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t xml:space="preserve"> </w:t>
      </w:r>
      <w:r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eastAsia"/>
          <w:lang w:eastAsia="zh-CN" w:val="en-US"/>
        </w:rPr>
        <w:t xml:space="preserve">  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一、收入支出预算总体情况说明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0" w:right="0" w:firstLine="6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年部门预算收入支出总计均为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1220.2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万元，与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2019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1124.2万元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相比，收、支总计均增加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96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，增幅7.87%，增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加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主要原因：项目支出较上年有增加。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675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二、收入预算说明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55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年收入预算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1220.2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万元，其中：财政拨款收入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1220.2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元，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占100%；政府性基金收入0万元，占0%；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部门财政资金结转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收入0万元，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占0%；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用事业单位基金弥补收支差额0万元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，占0%；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比上年增加</w:t>
      </w:r>
      <w:r>
        <w:rPr>
          <w:rtl w:val="0"/>
          <w:spacing w:val="0"/>
          <w:color w:val="auto"/>
          <w:sz w:val="32"/>
          <w:szCs w:val="32"/>
          <w:rFonts w:ascii="宋体" w:hAnsi="宋体" w:cs="宋体" w:hint="eastAsia"/>
          <w:lang w:eastAsia="zh-CN" w:val="en-US"/>
        </w:rPr>
        <w:t>96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万元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。增幅7.87%。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675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三、支出预算说明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675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年预算支出为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1220.2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万元。按用途划分为</w:t>
      </w:r>
      <w:r>
        <w:rPr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：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工资福利支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468.5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38.4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%；商品和服务支出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21.8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1.8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%；对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个人和家庭的补助支出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11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0.9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%。项目支出万元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718.9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元，占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58.9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%。，主要项目是重大公共卫生支出及计划生育支出。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   四、财政拨款收入支出预算总体情况说明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27"/>
          <w:szCs w:val="27"/>
          <w:rFonts w:ascii="宋体" w:eastAsia="宋体" w:hAnsi="宋体" w:hint="default"/>
        </w:rPr>
        <w:t xml:space="preserve">   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cs="宋体" w:hint="default"/>
        </w:rPr>
        <w:t xml:space="preserve"> </w:t>
      </w:r>
      <w:r>
        <w:rPr>
          <w:rtl w:val="0"/>
          <w:spacing w:val="0"/>
          <w:color w:val="auto"/>
          <w:sz w:val="32"/>
          <w:szCs w:val="32"/>
          <w:rFonts w:ascii="宋体" w:hAnsi="宋体" w:cs="宋体" w:hint="eastAsia"/>
          <w:lang w:eastAsia="zh-CN" w:val="en-US"/>
        </w:rPr>
        <w:t>2020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年财政拨款收入、支出均为</w:t>
      </w:r>
      <w:r>
        <w:rPr>
          <w:rtl w:val="0"/>
          <w:spacing w:val="0"/>
          <w:color w:val="auto"/>
          <w:sz w:val="32"/>
          <w:szCs w:val="32"/>
          <w:rFonts w:ascii="宋体" w:hAnsi="宋体" w:cs="宋体" w:hint="eastAsia"/>
          <w:lang w:eastAsia="zh-CN" w:val="en-US"/>
        </w:rPr>
        <w:t>1220.2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万元，其中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年一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般公共预算收支预算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1220.2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万元，与201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年相比，一般公共预算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收支预算增加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96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增幅7.87%，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主要原因：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突发公共卫生事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件应急处理和其他卫生健康管理事务支出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较上年有增加。</w:t>
      </w:r>
      <w:r>
        <w:rPr>
          <w:rtl w:val="0"/>
          <w:spacing w:val="0"/>
          <w:color w:val="auto"/>
          <w:sz w:val="32"/>
          <w:szCs w:val="32"/>
          <w:rFonts w:ascii="宋体" w:hAnsi="宋体" w:cs="宋体" w:hint="eastAsia"/>
          <w:lang w:eastAsia="zh-CN" w:val="en-US"/>
        </w:rPr>
        <w:t>2020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年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政府性基金收支预算0万元，与</w:t>
      </w:r>
      <w:r>
        <w:rPr>
          <w:rtl w:val="0"/>
          <w:spacing w:val="0"/>
          <w:color w:val="auto"/>
          <w:sz w:val="32"/>
          <w:szCs w:val="32"/>
          <w:rFonts w:ascii="宋体" w:hAnsi="宋体" w:cs="宋体" w:hint="eastAsia"/>
          <w:lang w:eastAsia="zh-CN" w:val="en-US"/>
        </w:rPr>
        <w:t>2019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年相比，政府性基金收支预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算增加0万元，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增幅0%；</w:t>
      </w:r>
      <w:r>
        <w:rPr>
          <w:rtl w:val="0"/>
          <w:spacing w:val="0"/>
          <w:color w:val="auto"/>
          <w:sz w:val="32"/>
          <w:szCs w:val="32"/>
          <w:rFonts w:ascii="宋体" w:hAnsi="宋体" w:cs="宋体" w:hint="eastAsia"/>
          <w:lang w:eastAsia="zh-CN" w:val="en-US"/>
        </w:rPr>
        <w:t>2020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年国有资本经营预算收支预算0万元，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与</w:t>
      </w:r>
      <w:r>
        <w:rPr>
          <w:rtl w:val="0"/>
          <w:spacing w:val="0"/>
          <w:color w:val="auto"/>
          <w:sz w:val="32"/>
          <w:szCs w:val="32"/>
          <w:rFonts w:ascii="宋体" w:hAnsi="宋体" w:cs="宋体" w:hint="eastAsia"/>
          <w:lang w:eastAsia="zh-CN" w:val="en-US"/>
        </w:rPr>
        <w:t>20</w:t>
      </w:r>
      <w:r>
        <w:rPr>
          <w:rtl w:val="0"/>
          <w:spacing w:val="0"/>
          <w:color w:val="auto"/>
          <w:sz w:val="32"/>
          <w:szCs w:val="32"/>
          <w:rFonts w:ascii="宋体" w:hAnsi="宋体" w:cs="宋体" w:hint="eastAsia"/>
          <w:lang w:eastAsia="zh-CN" w:val="en-US"/>
        </w:rPr>
        <w:t>19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年相比，国有资本经营预算收支预算增加0万元，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增幅0%，</w:t>
      </w:r>
      <w:r>
        <w:rPr>
          <w:rtl w:val="0"/>
          <w:spacing w:val="0"/>
          <w:color w:val="auto"/>
          <w:sz w:val="32"/>
          <w:szCs w:val="32"/>
          <w:rFonts w:ascii="宋体" w:eastAsia="宋体" w:hAnsi="宋体" w:cs="宋体"/>
        </w:rPr>
        <w:t>本单位无国有资本经营预算。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五、一般公共预算支出预算情况说明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27"/>
          <w:szCs w:val="27"/>
          <w:rFonts w:ascii="宋体" w:eastAsia="宋体" w:hAnsi="宋体" w:hint="default"/>
        </w:rPr>
        <w:t xml:space="preserve">  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 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年一般公共预算支出年初预算为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1220.2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万元。主要用于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以下方面：医疗卫生（类）支出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1038.7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85.1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%；社会保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障和就业（类）支出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105.6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8.7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%；住房保障（类）支出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3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7.9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3.1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%，城乡社区事务（类）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38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万元，占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3.1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%。</w:t>
      </w:r>
    </w:p>
    <w:p>
      <w:pPr>
        <w:bidi w:val="0"/>
        <w:jc w:val="both"/>
        <w:spacing w:lineRule="auto" w:line="240" w:before="0" w:after="0"/>
        <w:pageBreakBefore w:val="0"/>
        <w:ind w:left="0" w:right="0" w:firstLine="640"/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t>六、一般公共预算基本支出情况说明</w:t>
      </w:r>
    </w:p>
    <w:p>
      <w:pPr>
        <w:bidi w:val="0"/>
        <w:jc w:val="both"/>
        <w:spacing w:lineRule="auto" w:line="240" w:before="0" w:after="0"/>
        <w:pageBreakBefore w:val="0"/>
        <w:ind w:left="0" w:right="0" w:firstLine="6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cs="宋体" w:hint="default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t>2020年一般公共预算基本支出501.34万元，比</w:t>
      </w:r>
      <w:r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t>2019</w:t>
      </w:r>
      <w:r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t>年</w:t>
      </w:r>
      <w:r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t>减</w:t>
      </w:r>
      <w:r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t>少7.42万元，减幅1.5%。其中人员支出468.49万元，商品和服</w:t>
      </w:r>
      <w:r>
        <w:rPr>
          <w:rtl w:val="0"/>
          <w:rStyle w:val="PO1"/>
          <w:spacing w:val="0"/>
          <w:color w:val="auto"/>
          <w:sz w:val="32"/>
          <w:szCs w:val="32"/>
          <w:rFonts w:ascii="宋体" w:eastAsia="宋体" w:hAnsi="宋体" w:cs="宋体"/>
        </w:rPr>
        <w:t>务支出21.8万元，对家庭和个人支出11.05万元。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七、支出预算经济分类情况说明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年预算支出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1220.2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万元，其中：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基本支出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501.3万元，，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主要包括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人：基本工资、津贴补贴、奖金、绩效工资、机关事业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单位基本养老保险缴费、职业年金缴费、医疗保险缴费、其他社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会保障缴费、住房公积金、其他工资福利支出、退休费、其他对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个人和家庭的补助支出、办公费、印刷费、邮电费、差旅费、维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修（护）费、公务用车运行维护费、其他商品和服务支出、办公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设备购置；项目支出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718.9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万元，主要包括：基础设施建设及对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家庭和个人补助支出。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八、三公经费增减变化原因说明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675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年 “三公”经费公共预算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12.3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万元。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比2019年减少4.4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万元，减幅35.77%，主要原因是提倡节能减排、压缩支出。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其中：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（一）因公出国（境）费预算0万元，预算数与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2019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年持平，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占“三公”经费总额的0%。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（二）公务用车运行维护费预算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12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万元，预算数比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2019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减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少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4.3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万元。占“三公”经费总额的97.6%。主要原因是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单位提倡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节能减排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。主要用于日常公务发生的燃料费、维修费、过路过桥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费、保险费等支出；公务用车购置0万元，预算数比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2019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年增加0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（三）公务接待费预算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0.3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万元，预算数与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2019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年相比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/>
        </w:rPr>
        <w:t>减少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0.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1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万元，占“三公”经费总额的2.4%。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九、政府性基金预算支出预算情况说明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部门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年政府性基金预算支出0万元。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十、国有资本经营预算情况说明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部门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年国有资本经营预算支出0万元。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十一、政府采购情况说明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2019年政府采购预算安排0万元。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十二、其他重要事项的情况说明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（一）机关运行经费预算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年，机关运行经费支出预算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21.8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万元，主要用于办公及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印刷费、邮电费、差旅费、会议费、水、电、等运行维护费、公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务用车运行维护费以及其他费用。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405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（二）政府采购支出预算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年，政府采购预算安排0万元。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(三)关于预算绩效管理工作开展情况说明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2019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年，我单位对基本公共卫生服务项目进行预算绩效评价。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年我单位继续拟对基本公共卫生服务项目进行预算绩效评价，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涉及资金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248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万元。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（四）国有资产占用情况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2019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年期末，我系统（单位）共有车辆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3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辆，其中：其他业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务用车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3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辆。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（五）专项转移支付项目情况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 xml:space="preserve"> 我单位</w:t>
      </w:r>
      <w:r>
        <w:rPr>
          <w:spacing w:val="0"/>
          <w:b w:val="0"/>
          <w:color w:val="auto"/>
          <w:position w:val="0"/>
          <w:sz w:val="32"/>
          <w:szCs w:val="32"/>
          <w:rFonts w:ascii="宋体" w:hAnsi="宋体" w:hint="eastAsia"/>
          <w:lang w:eastAsia="zh-CN" w:val="en-US"/>
        </w:rPr>
        <w:t>2020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年没有专项转移支付项目。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left="0" w:right="0" w:firstLine="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t xml:space="preserve">  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left="0" w:right="0" w:firstLine="22"/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t xml:space="preserve">  第三部分 名词解释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一、财政拨款收入：是指省级财政当年拨付的资金。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二、事业收入：是指事业单位开展专业活动及辅助活动所取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得的收入。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675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三、其他收入：是指部门取得的除“财政拨款”、“事业收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入”、“事业单位经营收入”等以外的收入。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四、用事业基金弥补收支差额：是指事业单位在当年的“财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政拨款收入”、“事业收入”、“经营收入”和“其他收入”不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足以安排当年支出的情况下，使用以前年度积累的事业基金(即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事业单位以前各年度收支相抵后，按国家规定提取、用于弥补以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后年度收支差额的基金)弥补当年收支缺口的资金。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五、基本支出：是指为保障机构正常运转、完成日常工作任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务所必需的开支，其内容包括人员经费和日常公用经费两部分。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六、项目支出：是指在基本支出之外，为完成特定的行政工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作任务或事业发展目标所发生的支出。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七、“三公”经费：是指纳入省级财政预算管理，部门使用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财政拨款安排的因公出国(境)费、公务用车购置及运行费和公务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接待费。其中，因公出国(境)费反映单位公务出国(境)的住宿费、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旅费、伙食补助费、杂费、培训费等支出；公务用车购置及运行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费反映单位公务用车购置费及租用费、燃料费、维修费、过路过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桥费、保险费、安全奖励费用等支出；公务接待费反映单位按规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定开支的各类公务接待(含外宾接待)支出。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0" w:right="0" w:firstLine="54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0"/>
        <w:autoSpaceDN w:val="0"/>
      </w:pP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八、机关运行经费：是指为保障行政单位(含参照公务员法管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理的事业单位)运行用于购买货物和服务的各项资金，包括办公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及印刷费、邮电费、差旅费、会议费、福利费、日常维修费及一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般设备购置费、办公用房水电费、办公用房取暖费、办公用房物</w:t>
      </w:r>
      <w:r>
        <w:rPr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业管理费、公务用车运行维护费以及其他费用。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417" w:left="1417" w:bottom="1417" w:right="1417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10002ff" w:usb1="4000acff" w:usb2="00000009" w:usb3="00000000" w:csb0="2000019f" w:csb1="00000000"/>
  </w:font>
  <w:font w:name="仿宋_GB2312">
    <w:altName w:val="Ã¤Â»Â¿Ã¥Â®Â"/>
    <w:panose1 w:val="020F0502020204030204"/>
    <w:charset w:val="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2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multilevel"/>
    <w:nsid w:val="2F000000"/>
    <w:tmpl w:val="1F000014"/>
    <w:lvl w:ilvl="0">
      <w:lvlJc w:val="left"/>
      <w:numFmt w:val="chineseCounting"/>
      <w:start w:val="2"/>
      <w:suff w:val="space"/>
      <w:rPr>
        <w:rFonts w:hint="eastAsia"/>
      </w:rPr>
      <w:lvlText w:val="第%1部分"/>
    </w:lvl>
    <w:lvl w:ilvl="1">
      <w:lvlJc w:val="left"/>
      <w:numFmt w:val="chineseCounting"/>
      <w:start w:val="2"/>
      <w:suff w:val="space"/>
      <w:rPr>
        <w:rFonts w:hint="eastAsia"/>
      </w:rPr>
      <w:lvlText w:val="第%1部分"/>
    </w:lvl>
    <w:lvl w:ilvl="2">
      <w:lvlJc w:val="left"/>
      <w:numFmt w:val="chineseCounting"/>
      <w:start w:val="2"/>
      <w:suff w:val="space"/>
      <w:rPr>
        <w:rFonts w:hint="eastAsia"/>
      </w:rPr>
      <w:lvlText w:val="第%1部分"/>
    </w:lvl>
    <w:lvl w:ilvl="3">
      <w:lvlJc w:val="left"/>
      <w:numFmt w:val="chineseCounting"/>
      <w:start w:val="2"/>
      <w:suff w:val="space"/>
      <w:rPr>
        <w:rFonts w:hint="eastAsia"/>
      </w:rPr>
      <w:lvlText w:val="第%1部分"/>
    </w:lvl>
    <w:lvl w:ilvl="4">
      <w:lvlJc w:val="left"/>
      <w:numFmt w:val="chineseCounting"/>
      <w:start w:val="2"/>
      <w:suff w:val="space"/>
      <w:rPr>
        <w:rFonts w:hint="eastAsia"/>
      </w:rPr>
      <w:lvlText w:val="第%1部分"/>
    </w:lvl>
    <w:lvl w:ilvl="5">
      <w:lvlJc w:val="left"/>
      <w:numFmt w:val="chineseCounting"/>
      <w:start w:val="2"/>
      <w:suff w:val="space"/>
      <w:rPr>
        <w:rFonts w:hint="eastAsia"/>
      </w:rPr>
      <w:lvlText w:val="第%1部分"/>
    </w:lvl>
    <w:lvl w:ilvl="6">
      <w:lvlJc w:val="left"/>
      <w:numFmt w:val="chineseCounting"/>
      <w:start w:val="2"/>
      <w:suff w:val="space"/>
      <w:rPr>
        <w:rFonts w:hint="eastAsia"/>
      </w:rPr>
      <w:lvlText w:val="第%1部分"/>
    </w:lvl>
    <w:lvl w:ilvl="7">
      <w:lvlJc w:val="left"/>
      <w:numFmt w:val="chineseCounting"/>
      <w:start w:val="2"/>
      <w:suff w:val="space"/>
      <w:rPr>
        <w:rFonts w:hint="eastAsia"/>
      </w:rPr>
      <w:lvlText w:val="第%1部分"/>
    </w:lvl>
    <w:lvl w:ilvl="8">
      <w:lvlJc w:val="left"/>
      <w:numFmt w:val="chineseCounting"/>
      <w:start w:val="2"/>
      <w:suff w:val="space"/>
      <w:rPr>
        <w:rFonts w:hint="eastAsia"/>
      </w:rPr>
      <w:lvlText w:val="第%1部分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default="1" w:styleId="PO2" w:type="character">
    <w:name w:val="Default Paragraph Font"/>
    <w:qFormat/>
    <w:uiPriority w:val="2"/>
    <w:semiHidden/>
    <w:unhideWhenUsed/>
    <w:rPr>
      <w:sz w:val="21"/>
      <w:szCs w:val="21"/>
    </w:rPr>
  </w:style>
  <w:style w:default="1" w:styleId="PO3" w:type="table">
    <w:name w:val="Normal Table"/>
    <w:qFormat/>
    <w:uiPriority w:val="3"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5" w:type="paragraph">
    <w:name w:val="No Spacing"/>
    <w:qFormat/>
    <w:uiPriority w:val="5"/>
    <w:pPr>
      <w:jc w:val="both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6" w:type="paragraph">
    <w:name w:val="Title"/>
    <w:qFormat/>
    <w:uiPriority w:val="6"/>
    <w:pPr>
      <w:jc w:val="center"/>
      <w:rPr/>
      <w:wordWrap w:val="off"/>
      <w:autoSpaceDE w:val="1"/>
      <w:autoSpaceDN w:val="1"/>
    </w:pPr>
    <w:rPr>
      <w:b w:val="1"/>
      <w:sz w:val="32"/>
      <w:szCs w:val="32"/>
      <w:rFonts w:ascii="Times New Roman" w:eastAsia="宋体" w:hAnsi="Times New Roman" w:cs="Times New Roman"/>
    </w:rPr>
  </w:style>
  <w:style w:styleId="PO7" w:type="paragraph">
    <w:name w:val="heading 1"/>
    <w:next w:val="PO1"/>
    <w:qFormat/>
    <w:uiPriority w:val="7"/>
    <w:pPr>
      <w:jc w:val="both"/>
      <w:rPr/>
      <w:wordWrap w:val="off"/>
      <w:autoSpaceDE w:val="1"/>
      <w:autoSpaceDN w:val="1"/>
    </w:pPr>
    <w:rPr>
      <w:sz w:val="28"/>
      <w:szCs w:val="28"/>
      <w:rFonts w:ascii="Times New Roman" w:eastAsia="宋体" w:hAnsi="Times New Roman" w:cs="Times New Roman"/>
    </w:rPr>
  </w:style>
  <w:style w:styleId="PO8" w:type="paragraph">
    <w:name w:val="heading 2"/>
    <w:next w:val="PO1"/>
    <w:qFormat/>
    <w:uiPriority w:val="8"/>
    <w:pPr>
      <w:jc w:val="both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9" w:type="paragraph">
    <w:name w:val="heading 3"/>
    <w:next w:val="PO1"/>
    <w:qFormat/>
    <w:uiPriority w:val="9"/>
    <w:pPr>
      <w:jc w:val="both"/>
      <w:ind w:left="1000" w:hanging="40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10" w:type="paragraph">
    <w:name w:val="heading 4"/>
    <w:next w:val="PO1"/>
    <w:qFormat/>
    <w:uiPriority w:val="10"/>
    <w:pPr>
      <w:jc w:val="both"/>
      <w:ind w:left="1200" w:hanging="400"/>
      <w:rPr/>
      <w:wordWrap w:val="off"/>
      <w:autoSpaceDE w:val="1"/>
      <w:autoSpaceDN w:val="1"/>
    </w:pPr>
    <w:rPr>
      <w:b w:val="1"/>
      <w:sz w:val="21"/>
      <w:szCs w:val="21"/>
      <w:rFonts w:ascii="Times New Roman" w:eastAsia="宋体" w:hAnsi="Times New Roman" w:cs="Times New Roman"/>
    </w:rPr>
  </w:style>
  <w:style w:styleId="PO11" w:type="paragraph">
    <w:name w:val="heading 5"/>
    <w:next w:val="PO1"/>
    <w:qFormat/>
    <w:uiPriority w:val="11"/>
    <w:pPr>
      <w:jc w:val="both"/>
      <w:ind w:left="1400" w:hanging="40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12" w:type="paragraph">
    <w:name w:val="heading 6"/>
    <w:next w:val="PO1"/>
    <w:qFormat/>
    <w:uiPriority w:val="12"/>
    <w:pPr>
      <w:jc w:val="both"/>
      <w:ind w:left="1600" w:hanging="400"/>
      <w:rPr/>
      <w:wordWrap w:val="off"/>
      <w:autoSpaceDE w:val="1"/>
      <w:autoSpaceDN w:val="1"/>
    </w:pPr>
    <w:rPr>
      <w:b w:val="1"/>
      <w:sz w:val="21"/>
      <w:szCs w:val="21"/>
      <w:rFonts w:ascii="Times New Roman" w:eastAsia="宋体" w:hAnsi="Times New Roman" w:cs="Times New Roman"/>
    </w:rPr>
  </w:style>
  <w:style w:styleId="PO13" w:type="paragraph">
    <w:name w:val="heading 7"/>
    <w:next w:val="PO1"/>
    <w:qFormat/>
    <w:uiPriority w:val="13"/>
    <w:pPr>
      <w:jc w:val="both"/>
      <w:ind w:left="1800" w:hanging="40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14" w:type="paragraph">
    <w:name w:val="heading 8"/>
    <w:next w:val="PO1"/>
    <w:qFormat/>
    <w:uiPriority w:val="14"/>
    <w:pPr>
      <w:jc w:val="both"/>
      <w:ind w:left="2000" w:hanging="40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15" w:type="paragraph">
    <w:name w:val="heading 9"/>
    <w:next w:val="PO1"/>
    <w:qFormat/>
    <w:uiPriority w:val="15"/>
    <w:pPr>
      <w:jc w:val="both"/>
      <w:ind w:left="2200" w:hanging="40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16" w:type="paragraph">
    <w:name w:val="Subtitle"/>
    <w:qFormat/>
    <w:uiPriority w:val="16"/>
    <w:pPr>
      <w:jc w:val="center"/>
      <w:rPr/>
      <w:wordWrap w:val="off"/>
      <w:autoSpaceDE w:val="1"/>
      <w:autoSpaceDN w:val="1"/>
    </w:pPr>
    <w:rPr>
      <w:sz w:val="24"/>
      <w:szCs w:val="24"/>
      <w:rFonts w:ascii="Times New Roman" w:eastAsia="宋体" w:hAnsi="Times New Roman" w:cs="Times New Roman"/>
    </w:rPr>
  </w:style>
  <w:style w:customStyle="1" w:styleId="PO17" w:type="character">
    <w:name w:val="Subtle Emphasis"/>
    <w:qFormat/>
    <w:uiPriority w:val="17"/>
    <w:rPr>
      <w:i w:val="1"/>
      <w:color w:val="404040"/>
      <w:sz w:val="21"/>
      <w:szCs w:val="21"/>
    </w:rPr>
  </w:style>
  <w:style w:styleId="PO18" w:type="character">
    <w:name w:val="Emphasis"/>
    <w:qFormat/>
    <w:uiPriority w:val="18"/>
    <w:rPr>
      <w:i w:val="1"/>
      <w:sz w:val="21"/>
      <w:szCs w:val="21"/>
    </w:rPr>
  </w:style>
  <w:style w:customStyle="1" w:styleId="PO19" w:type="character">
    <w:name w:val="Intense Emphasis"/>
    <w:qFormat/>
    <w:uiPriority w:val="19"/>
    <w:rPr>
      <w:i w:val="1"/>
      <w:color w:val="5B9BD5"/>
      <w:sz w:val="21"/>
      <w:szCs w:val="21"/>
    </w:rPr>
  </w:style>
  <w:style w:styleId="PO20" w:type="character">
    <w:name w:val="Strong"/>
    <w:qFormat/>
    <w:uiPriority w:val="20"/>
    <w:rPr>
      <w:b w:val="1"/>
      <w:sz w:val="21"/>
      <w:szCs w:val="21"/>
    </w:rPr>
  </w:style>
  <w:style w:styleId="PO21" w:type="paragraph">
    <w:name w:val="Quote"/>
    <w:qFormat/>
    <w:uiPriority w:val="21"/>
    <w:pPr>
      <w:jc w:val="center"/>
      <w:ind w:left="864" w:right="864" w:firstLine="0"/>
      <w:rPr/>
      <w:wordWrap w:val="off"/>
      <w:autoSpaceDE w:val="1"/>
      <w:autoSpaceDN w:val="1"/>
    </w:pPr>
    <w:rPr>
      <w:i w:val="1"/>
      <w:color w:val="404040"/>
      <w:sz w:val="21"/>
      <w:szCs w:val="21"/>
      <w:rFonts w:ascii="Times New Roman" w:eastAsia="宋体" w:hAnsi="Times New Roman" w:cs="Times New Roman"/>
    </w:rPr>
  </w:style>
  <w:style w:styleId="PO22" w:type="paragraph">
    <w:name w:val="Intense Quote"/>
    <w:qFormat/>
    <w:uiPriority w:val="22"/>
    <w:pPr>
      <w:jc w:val="center"/>
      <w:ind w:left="950" w:right="950" w:firstLine="0"/>
      <w:rPr/>
      <w:wordWrap w:val="off"/>
      <w:autoSpaceDE w:val="1"/>
      <w:autoSpaceDN w:val="1"/>
    </w:pPr>
    <w:rPr>
      <w:i w:val="1"/>
      <w:color w:val="5B9BD5"/>
      <w:sz w:val="21"/>
      <w:szCs w:val="21"/>
      <w:rFonts w:ascii="Times New Roman" w:eastAsia="宋体" w:hAnsi="Times New Roman" w:cs="Times New Roman"/>
    </w:rPr>
  </w:style>
  <w:style w:customStyle="1" w:styleId="PO23" w:type="character">
    <w:name w:val="Subtle Reference"/>
    <w:qFormat/>
    <w:uiPriority w:val="23"/>
    <w:rPr>
      <w:color w:val="5A5A5A"/>
      <w:sz w:val="21"/>
      <w:szCs w:val="21"/>
      <w:smallCaps w:val="1"/>
    </w:rPr>
  </w:style>
  <w:style w:customStyle="1" w:styleId="PO24" w:type="character">
    <w:name w:val="Intense Reference"/>
    <w:qFormat/>
    <w:uiPriority w:val="24"/>
    <w:rPr>
      <w:b w:val="1"/>
      <w:color w:val="5B9BD5"/>
      <w:sz w:val="21"/>
      <w:szCs w:val="21"/>
      <w:smallCaps w:val="1"/>
    </w:rPr>
  </w:style>
  <w:style w:customStyle="1" w:styleId="PO25" w:type="character">
    <w:name w:val="Book Title"/>
    <w:qFormat/>
    <w:uiPriority w:val="25"/>
    <w:rPr>
      <w:i w:val="1"/>
      <w:b w:val="1"/>
      <w:sz w:val="21"/>
      <w:szCs w:val="21"/>
    </w:rPr>
  </w:style>
  <w:style w:styleId="PO26" w:type="paragraph">
    <w:name w:val="List Paragraph"/>
    <w:qFormat/>
    <w:uiPriority w:val="26"/>
    <w:pPr>
      <w:jc w:val="both"/>
      <w:ind w:left="850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customStyle="1" w:styleId="PO27" w:type="paragraph">
    <w:name w:val="TOC Heading"/>
    <w:qFormat/>
    <w:uiPriority w:val="27"/>
    <w:unhideWhenUsed/>
    <w:pPr>
      <w:jc w:val="both"/>
      <w:rPr/>
      <w:wordWrap w:val="off"/>
      <w:autoSpaceDE w:val="1"/>
      <w:autoSpaceDN w:val="1"/>
    </w:pPr>
    <w:rPr>
      <w:color w:val="2E74B5"/>
      <w:sz w:val="32"/>
      <w:szCs w:val="32"/>
      <w:rFonts w:ascii="Times New Roman" w:eastAsia="宋体" w:hAnsi="Times New Roman" w:cs="Times New Roman"/>
    </w:rPr>
  </w:style>
  <w:style w:styleId="PO28" w:type="paragraph">
    <w:name w:val="toc 1"/>
    <w:next w:val="PO1"/>
    <w:qFormat/>
    <w:uiPriority w:val="28"/>
    <w:unhideWhenUsed/>
    <w:pPr>
      <w:jc w:val="both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29" w:type="paragraph">
    <w:name w:val="toc 2"/>
    <w:next w:val="PO1"/>
    <w:qFormat/>
    <w:uiPriority w:val="29"/>
    <w:unhideWhenUsed/>
    <w:pPr>
      <w:jc w:val="both"/>
      <w:ind w:left="425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30" w:type="paragraph">
    <w:name w:val="toc 3"/>
    <w:next w:val="PO1"/>
    <w:qFormat/>
    <w:uiPriority w:val="30"/>
    <w:unhideWhenUsed/>
    <w:pPr>
      <w:jc w:val="both"/>
      <w:ind w:left="850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31" w:type="paragraph">
    <w:name w:val="toc 4"/>
    <w:next w:val="PO1"/>
    <w:qFormat/>
    <w:uiPriority w:val="31"/>
    <w:unhideWhenUsed/>
    <w:pPr>
      <w:jc w:val="both"/>
      <w:ind w:left="1275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32" w:type="paragraph">
    <w:name w:val="toc 5"/>
    <w:next w:val="PO1"/>
    <w:qFormat/>
    <w:uiPriority w:val="32"/>
    <w:unhideWhenUsed/>
    <w:pPr>
      <w:jc w:val="both"/>
      <w:ind w:left="1700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33" w:type="paragraph">
    <w:name w:val="toc 6"/>
    <w:next w:val="PO1"/>
    <w:qFormat/>
    <w:uiPriority w:val="33"/>
    <w:unhideWhenUsed/>
    <w:pPr>
      <w:jc w:val="both"/>
      <w:ind w:left="2125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34" w:type="paragraph">
    <w:name w:val="toc 7"/>
    <w:next w:val="PO1"/>
    <w:qFormat/>
    <w:uiPriority w:val="34"/>
    <w:unhideWhenUsed/>
    <w:pPr>
      <w:jc w:val="both"/>
      <w:ind w:left="2550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35" w:type="paragraph">
    <w:name w:val="toc 8"/>
    <w:next w:val="PO1"/>
    <w:qFormat/>
    <w:uiPriority w:val="35"/>
    <w:unhideWhenUsed/>
    <w:pPr>
      <w:jc w:val="both"/>
      <w:ind w:left="2975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36" w:type="paragraph">
    <w:name w:val="toc 9"/>
    <w:next w:val="PO1"/>
    <w:qFormat/>
    <w:uiPriority w:val="36"/>
    <w:unhideWhenUsed/>
    <w:pPr>
      <w:jc w:val="both"/>
      <w:ind w:left="3400" w:firstLine="0"/>
      <w:rPr/>
      <w:wordWrap w:val="off"/>
      <w:autoSpaceDE w:val="1"/>
      <w:autoSpaceDN w:val="1"/>
    </w:pPr>
    <w:rPr>
      <w:sz w:val="21"/>
      <w:szCs w:val="21"/>
      <w:rFonts w:ascii="Times New Roman" w:eastAsia="宋体" w:hAnsi="Times New Roman" w:cs="Times New Roman"/>
    </w:rPr>
  </w:style>
  <w:style w:styleId="PO151" w:type="paragraph">
    <w:name w:val="Normal (Web)"/>
    <w:basedOn w:val="PO1"/>
    <w:qFormat/>
    <w:uiPriority w:val="151"/>
    <w:pPr>
      <w:jc w:val="left"/>
      <w:spacing w:before="0" w:beforeAutospacing="1" w:afterAutospacing="1" w:after="0"/>
      <w:rPr/>
    </w:pPr>
    <w:rPr>
      <w:sz w:val="24"/>
      <w:szCs w:val="24"/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10</Pages>
  <Paragraphs>0</Paragraphs>
  <Words>90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2020-11-02T07:35:31Z</dcterms:modified>
</cp:coreProperties>
</file>