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3ED" w:rsidRDefault="00D243ED" w:rsidP="00D243ED">
      <w:pPr>
        <w:adjustRightInd/>
        <w:snapToGrid/>
        <w:spacing w:before="225" w:after="0" w:line="450" w:lineRule="atLeast"/>
        <w:jc w:val="center"/>
        <w:rPr>
          <w:rFonts w:ascii="宋体" w:eastAsia="宋体" w:hAnsi="宋体" w:cs="宋体"/>
          <w:color w:val="333333"/>
          <w:sz w:val="32"/>
          <w:szCs w:val="32"/>
        </w:rPr>
      </w:pPr>
    </w:p>
    <w:p w:rsidR="00D243ED" w:rsidRPr="00D243ED" w:rsidRDefault="00D243ED" w:rsidP="00D243ED">
      <w:pPr>
        <w:adjustRightInd/>
        <w:snapToGrid/>
        <w:spacing w:before="225" w:after="0" w:line="450" w:lineRule="atLeast"/>
        <w:jc w:val="center"/>
        <w:rPr>
          <w:rFonts w:ascii="宋体" w:eastAsia="宋体" w:hAnsi="宋体" w:cs="宋体"/>
          <w:sz w:val="36"/>
          <w:szCs w:val="36"/>
        </w:rPr>
      </w:pPr>
      <w:r w:rsidRPr="00D243ED">
        <w:rPr>
          <w:rFonts w:ascii="宋体" w:eastAsia="宋体" w:hAnsi="宋体" w:cs="宋体" w:hint="eastAsia"/>
          <w:color w:val="333333"/>
          <w:sz w:val="36"/>
          <w:szCs w:val="36"/>
        </w:rPr>
        <w:t>平顶山市石龙区环境</w:t>
      </w:r>
      <w:r>
        <w:rPr>
          <w:rFonts w:ascii="宋体" w:eastAsia="宋体" w:hAnsi="宋体" w:cs="宋体" w:hint="eastAsia"/>
          <w:color w:val="333333"/>
          <w:sz w:val="36"/>
          <w:szCs w:val="36"/>
        </w:rPr>
        <w:t>保护</w:t>
      </w:r>
      <w:r w:rsidRPr="00D243ED">
        <w:rPr>
          <w:rFonts w:ascii="宋体" w:eastAsia="宋体" w:hAnsi="宋体" w:cs="宋体" w:hint="eastAsia"/>
          <w:color w:val="333333"/>
          <w:sz w:val="36"/>
          <w:szCs w:val="36"/>
        </w:rPr>
        <w:t>局</w:t>
      </w:r>
    </w:p>
    <w:p w:rsidR="00D243ED" w:rsidRPr="00D243ED" w:rsidRDefault="00D243ED" w:rsidP="00D243ED">
      <w:pPr>
        <w:adjustRightInd/>
        <w:snapToGrid/>
        <w:spacing w:before="225" w:after="0" w:line="450" w:lineRule="atLeast"/>
        <w:jc w:val="center"/>
        <w:rPr>
          <w:rFonts w:ascii="宋体" w:eastAsia="宋体" w:hAnsi="宋体" w:cs="宋体"/>
          <w:sz w:val="36"/>
          <w:szCs w:val="36"/>
        </w:rPr>
      </w:pPr>
      <w:r w:rsidRPr="00D243ED">
        <w:rPr>
          <w:rFonts w:ascii="宋体" w:eastAsia="宋体" w:hAnsi="宋体" w:cs="宋体" w:hint="eastAsia"/>
          <w:color w:val="333333"/>
          <w:sz w:val="36"/>
          <w:szCs w:val="36"/>
        </w:rPr>
        <w:t>关于2020年</w:t>
      </w:r>
      <w:r>
        <w:rPr>
          <w:rFonts w:ascii="宋体" w:eastAsia="宋体" w:hAnsi="宋体" w:cs="宋体" w:hint="eastAsia"/>
          <w:color w:val="333333"/>
          <w:sz w:val="36"/>
          <w:szCs w:val="36"/>
        </w:rPr>
        <w:t>3</w:t>
      </w:r>
      <w:r w:rsidRPr="00D243ED">
        <w:rPr>
          <w:rFonts w:ascii="宋体" w:eastAsia="宋体" w:hAnsi="宋体" w:cs="宋体" w:hint="eastAsia"/>
          <w:color w:val="333333"/>
          <w:sz w:val="36"/>
          <w:szCs w:val="36"/>
        </w:rPr>
        <w:t>月</w:t>
      </w:r>
      <w:r>
        <w:rPr>
          <w:rFonts w:ascii="宋体" w:eastAsia="宋体" w:hAnsi="宋体" w:cs="宋体" w:hint="eastAsia"/>
          <w:color w:val="333333"/>
          <w:sz w:val="36"/>
          <w:szCs w:val="36"/>
        </w:rPr>
        <w:t>13</w:t>
      </w:r>
      <w:r w:rsidRPr="00D243ED">
        <w:rPr>
          <w:rFonts w:ascii="宋体" w:eastAsia="宋体" w:hAnsi="宋体" w:cs="宋体" w:hint="eastAsia"/>
          <w:color w:val="333333"/>
          <w:sz w:val="36"/>
          <w:szCs w:val="36"/>
        </w:rPr>
        <w:t>日作出的建设项目环境影响评价</w:t>
      </w:r>
    </w:p>
    <w:p w:rsidR="00D243ED" w:rsidRPr="00D243ED" w:rsidRDefault="00D243ED" w:rsidP="00D243ED">
      <w:pPr>
        <w:adjustRightInd/>
        <w:snapToGrid/>
        <w:spacing w:before="225" w:after="0" w:line="450" w:lineRule="atLeast"/>
        <w:jc w:val="center"/>
        <w:rPr>
          <w:rFonts w:ascii="宋体" w:eastAsia="宋体" w:hAnsi="宋体" w:cs="宋体"/>
          <w:color w:val="333333"/>
          <w:sz w:val="36"/>
          <w:szCs w:val="36"/>
        </w:rPr>
      </w:pPr>
      <w:r w:rsidRPr="00D243ED">
        <w:rPr>
          <w:rFonts w:ascii="宋体" w:eastAsia="宋体" w:hAnsi="宋体" w:cs="宋体" w:hint="eastAsia"/>
          <w:color w:val="333333"/>
          <w:sz w:val="36"/>
          <w:szCs w:val="36"/>
        </w:rPr>
        <w:t>审批决定的公告</w:t>
      </w:r>
    </w:p>
    <w:p w:rsidR="00D243ED" w:rsidRPr="00D243ED" w:rsidRDefault="00D243ED" w:rsidP="00D243ED">
      <w:pPr>
        <w:adjustRightInd/>
        <w:snapToGrid/>
        <w:spacing w:before="225" w:after="0" w:line="450" w:lineRule="atLeast"/>
        <w:jc w:val="center"/>
        <w:rPr>
          <w:rFonts w:ascii="宋体" w:eastAsia="宋体" w:hAnsi="宋体" w:cs="宋体"/>
          <w:sz w:val="24"/>
          <w:szCs w:val="24"/>
        </w:rPr>
      </w:pPr>
    </w:p>
    <w:p w:rsidR="00D243ED" w:rsidRPr="00D243ED" w:rsidRDefault="00D243ED" w:rsidP="00D243ED">
      <w:pPr>
        <w:adjustRightInd/>
        <w:snapToGrid/>
        <w:spacing w:before="225" w:after="0" w:line="400" w:lineRule="atLeast"/>
        <w:ind w:firstLine="748"/>
        <w:rPr>
          <w:rFonts w:ascii="宋体" w:eastAsia="宋体" w:hAnsi="宋体" w:cs="宋体"/>
          <w:sz w:val="24"/>
          <w:szCs w:val="24"/>
        </w:rPr>
      </w:pPr>
      <w:r w:rsidRPr="00D243ED">
        <w:rPr>
          <w:rFonts w:ascii="宋体" w:eastAsia="宋体" w:hAnsi="宋体" w:cs="宋体" w:hint="eastAsia"/>
          <w:color w:val="333333"/>
          <w:sz w:val="29"/>
          <w:szCs w:val="29"/>
        </w:rPr>
        <w:t>根据建设项目环境影响评价审批程序有关规定，经审查，2020年</w:t>
      </w:r>
      <w:r>
        <w:rPr>
          <w:rFonts w:ascii="宋体" w:eastAsia="宋体" w:hAnsi="宋体" w:cs="宋体" w:hint="eastAsia"/>
          <w:color w:val="333333"/>
          <w:sz w:val="29"/>
          <w:szCs w:val="29"/>
        </w:rPr>
        <w:t>3</w:t>
      </w:r>
      <w:r w:rsidRPr="00D243ED">
        <w:rPr>
          <w:rFonts w:ascii="宋体" w:eastAsia="宋体" w:hAnsi="宋体" w:cs="宋体" w:hint="eastAsia"/>
          <w:color w:val="333333"/>
          <w:sz w:val="29"/>
          <w:szCs w:val="29"/>
        </w:rPr>
        <w:t>月13日我局对</w:t>
      </w:r>
      <w:r>
        <w:rPr>
          <w:rFonts w:ascii="宋体" w:eastAsia="宋体" w:hAnsi="宋体" w:cs="宋体" w:hint="eastAsia"/>
          <w:color w:val="333333"/>
          <w:sz w:val="29"/>
          <w:szCs w:val="29"/>
        </w:rPr>
        <w:t>平顶山市君安门窗有限公司门窗生产</w:t>
      </w:r>
      <w:r w:rsidRPr="00D243ED">
        <w:rPr>
          <w:rFonts w:ascii="宋体" w:eastAsia="宋体" w:hAnsi="宋体" w:cs="宋体" w:hint="eastAsia"/>
          <w:color w:val="333333"/>
          <w:sz w:val="29"/>
          <w:szCs w:val="29"/>
        </w:rPr>
        <w:t>项目环境影响评价文件审批申请作出审批决定。现将作出的审批决定予以公告，公告期为2020年</w:t>
      </w:r>
      <w:r>
        <w:rPr>
          <w:rFonts w:ascii="宋体" w:eastAsia="宋体" w:hAnsi="宋体" w:cs="宋体" w:hint="eastAsia"/>
          <w:color w:val="333333"/>
          <w:sz w:val="29"/>
          <w:szCs w:val="29"/>
        </w:rPr>
        <w:t>3</w:t>
      </w:r>
      <w:r w:rsidRPr="00D243ED">
        <w:rPr>
          <w:rFonts w:ascii="宋体" w:eastAsia="宋体" w:hAnsi="宋体" w:cs="宋体" w:hint="eastAsia"/>
          <w:color w:val="333333"/>
          <w:sz w:val="29"/>
          <w:szCs w:val="29"/>
        </w:rPr>
        <w:t>月</w:t>
      </w:r>
      <w:r>
        <w:rPr>
          <w:rFonts w:ascii="宋体" w:eastAsia="宋体" w:hAnsi="宋体" w:cs="宋体" w:hint="eastAsia"/>
          <w:color w:val="333333"/>
          <w:sz w:val="29"/>
          <w:szCs w:val="29"/>
        </w:rPr>
        <w:t>23</w:t>
      </w:r>
      <w:r w:rsidRPr="00D243ED">
        <w:rPr>
          <w:rFonts w:ascii="宋体" w:eastAsia="宋体" w:hAnsi="宋体" w:cs="宋体" w:hint="eastAsia"/>
          <w:color w:val="333333"/>
          <w:sz w:val="29"/>
          <w:szCs w:val="29"/>
        </w:rPr>
        <w:t>日－2020年</w:t>
      </w:r>
      <w:r>
        <w:rPr>
          <w:rFonts w:ascii="宋体" w:eastAsia="宋体" w:hAnsi="宋体" w:cs="宋体" w:hint="eastAsia"/>
          <w:color w:val="333333"/>
          <w:sz w:val="29"/>
          <w:szCs w:val="29"/>
        </w:rPr>
        <w:t>3</w:t>
      </w:r>
      <w:r w:rsidRPr="00D243ED">
        <w:rPr>
          <w:rFonts w:ascii="宋体" w:eastAsia="宋体" w:hAnsi="宋体" w:cs="宋体" w:hint="eastAsia"/>
          <w:color w:val="333333"/>
          <w:sz w:val="29"/>
          <w:szCs w:val="29"/>
        </w:rPr>
        <w:t>月</w:t>
      </w:r>
      <w:r>
        <w:rPr>
          <w:rFonts w:ascii="宋体" w:eastAsia="宋体" w:hAnsi="宋体" w:cs="宋体" w:hint="eastAsia"/>
          <w:color w:val="333333"/>
          <w:sz w:val="29"/>
          <w:szCs w:val="29"/>
        </w:rPr>
        <w:t>27</w:t>
      </w:r>
      <w:r w:rsidRPr="00D243ED">
        <w:rPr>
          <w:rFonts w:ascii="宋体" w:eastAsia="宋体" w:hAnsi="宋体" w:cs="宋体" w:hint="eastAsia"/>
          <w:color w:val="333333"/>
          <w:sz w:val="29"/>
          <w:szCs w:val="29"/>
        </w:rPr>
        <w:t>日（5个工作日）。</w:t>
      </w:r>
    </w:p>
    <w:p w:rsidR="00D243ED" w:rsidRPr="00D243ED" w:rsidRDefault="00D243ED" w:rsidP="00D243ED">
      <w:pPr>
        <w:adjustRightInd/>
        <w:snapToGrid/>
        <w:spacing w:before="225" w:after="0" w:line="400" w:lineRule="atLeast"/>
        <w:ind w:firstLine="748"/>
        <w:rPr>
          <w:rFonts w:ascii="宋体" w:eastAsia="宋体" w:hAnsi="宋体" w:cs="宋体"/>
          <w:sz w:val="24"/>
          <w:szCs w:val="24"/>
        </w:rPr>
      </w:pPr>
      <w:r w:rsidRPr="00D243ED">
        <w:rPr>
          <w:rFonts w:ascii="宋体" w:eastAsia="宋体" w:hAnsi="宋体" w:cs="宋体" w:hint="eastAsia"/>
          <w:color w:val="333333"/>
          <w:sz w:val="29"/>
          <w:szCs w:val="29"/>
        </w:rPr>
        <w:t>行政复议与行政诉讼权利告知：依据《中华人民共和国行政复议法》和《中华人民共和国行政诉讼法》，公民、法人或者其他组织认为公告的建设项目环境影响评价文件审批决定或建设项目竣工环境保护验收决定侵犯其合法权益的，可以自公告期限届满之日起六十日内提起行政复议，也可以自公告期限届满之日起六个月内提起行政诉讼。</w:t>
      </w:r>
    </w:p>
    <w:p w:rsidR="00D243ED" w:rsidRPr="00D243ED" w:rsidRDefault="00D243ED" w:rsidP="00D243ED">
      <w:pPr>
        <w:adjustRightInd/>
        <w:snapToGrid/>
        <w:spacing w:before="225" w:after="0" w:line="400" w:lineRule="atLeast"/>
        <w:ind w:firstLine="748"/>
        <w:rPr>
          <w:rFonts w:ascii="宋体" w:eastAsia="宋体" w:hAnsi="宋体" w:cs="宋体"/>
          <w:sz w:val="24"/>
          <w:szCs w:val="24"/>
        </w:rPr>
      </w:pPr>
      <w:r w:rsidRPr="00D243ED">
        <w:rPr>
          <w:rFonts w:ascii="宋体" w:eastAsia="宋体" w:hAnsi="宋体" w:cs="宋体" w:hint="eastAsia"/>
          <w:color w:val="333333"/>
          <w:sz w:val="29"/>
          <w:szCs w:val="29"/>
        </w:rPr>
        <w:t>联系电话：0375-</w:t>
      </w:r>
      <w:r>
        <w:rPr>
          <w:rFonts w:ascii="宋体" w:eastAsia="宋体" w:hAnsi="宋体" w:cs="宋体" w:hint="eastAsia"/>
          <w:color w:val="333333"/>
          <w:sz w:val="29"/>
          <w:szCs w:val="29"/>
        </w:rPr>
        <w:t>2535196</w:t>
      </w:r>
      <w:r w:rsidRPr="00D243ED">
        <w:rPr>
          <w:rFonts w:ascii="宋体" w:eastAsia="宋体" w:hAnsi="宋体" w:cs="宋体" w:hint="eastAsia"/>
          <w:color w:val="333333"/>
          <w:sz w:val="29"/>
          <w:szCs w:val="29"/>
        </w:rPr>
        <w:t>、</w:t>
      </w:r>
      <w:r>
        <w:rPr>
          <w:rFonts w:ascii="宋体" w:eastAsia="宋体" w:hAnsi="宋体" w:cs="宋体" w:hint="eastAsia"/>
          <w:color w:val="333333"/>
          <w:sz w:val="29"/>
          <w:szCs w:val="29"/>
        </w:rPr>
        <w:t>2535172</w:t>
      </w:r>
      <w:r w:rsidRPr="00D243ED">
        <w:rPr>
          <w:rFonts w:ascii="宋体" w:eastAsia="宋体" w:hAnsi="宋体" w:cs="宋体" w:hint="eastAsia"/>
          <w:color w:val="333333"/>
          <w:sz w:val="29"/>
          <w:szCs w:val="29"/>
        </w:rPr>
        <w:t>（行政服务中心）</w:t>
      </w:r>
    </w:p>
    <w:p w:rsidR="00D243ED" w:rsidRDefault="00D243ED" w:rsidP="00D243ED">
      <w:pPr>
        <w:adjustRightInd/>
        <w:snapToGrid/>
        <w:spacing w:before="225" w:after="0" w:line="400" w:lineRule="atLeast"/>
        <w:ind w:firstLine="748"/>
        <w:rPr>
          <w:rFonts w:ascii="宋体" w:eastAsia="宋体" w:hAnsi="宋体" w:cs="宋体"/>
          <w:color w:val="333333"/>
          <w:sz w:val="29"/>
          <w:szCs w:val="29"/>
        </w:rPr>
      </w:pPr>
      <w:r w:rsidRPr="00D243ED">
        <w:rPr>
          <w:rFonts w:ascii="宋体" w:eastAsia="宋体" w:hAnsi="宋体" w:cs="宋体" w:hint="eastAsia"/>
          <w:color w:val="333333"/>
          <w:sz w:val="29"/>
          <w:szCs w:val="29"/>
        </w:rPr>
        <w:t>传  真：</w:t>
      </w:r>
      <w:r w:rsidR="00E2250B">
        <w:rPr>
          <w:rFonts w:ascii="宋体" w:eastAsia="宋体" w:hAnsi="宋体" w:cs="宋体" w:hint="eastAsia"/>
          <w:color w:val="333333"/>
          <w:sz w:val="29"/>
          <w:szCs w:val="29"/>
        </w:rPr>
        <w:t>0375</w:t>
      </w:r>
      <w:r w:rsidRPr="00D243ED">
        <w:rPr>
          <w:rFonts w:ascii="宋体" w:eastAsia="宋体" w:hAnsi="宋体" w:cs="宋体" w:hint="eastAsia"/>
          <w:color w:val="333333"/>
          <w:sz w:val="29"/>
          <w:szCs w:val="29"/>
        </w:rPr>
        <w:t>-</w:t>
      </w:r>
      <w:r>
        <w:rPr>
          <w:rFonts w:ascii="宋体" w:eastAsia="宋体" w:hAnsi="宋体" w:cs="宋体" w:hint="eastAsia"/>
          <w:color w:val="333333"/>
          <w:sz w:val="29"/>
          <w:szCs w:val="29"/>
        </w:rPr>
        <w:t>2535198</w:t>
      </w:r>
    </w:p>
    <w:p w:rsidR="00D243ED" w:rsidRPr="00D243ED" w:rsidRDefault="00D243ED" w:rsidP="00D243ED">
      <w:pPr>
        <w:adjustRightInd/>
        <w:snapToGrid/>
        <w:spacing w:before="225" w:after="0" w:line="400" w:lineRule="atLeast"/>
        <w:ind w:firstLine="748"/>
        <w:rPr>
          <w:rFonts w:ascii="宋体" w:eastAsia="宋体" w:hAnsi="宋体" w:cs="宋体"/>
          <w:sz w:val="24"/>
          <w:szCs w:val="24"/>
        </w:rPr>
      </w:pPr>
      <w:r w:rsidRPr="00D243ED">
        <w:rPr>
          <w:rFonts w:ascii="宋体" w:eastAsia="宋体" w:hAnsi="宋体" w:cs="宋体" w:hint="eastAsia"/>
          <w:color w:val="333333"/>
          <w:sz w:val="29"/>
          <w:szCs w:val="29"/>
        </w:rPr>
        <w:t>通讯地址：平顶山市</w:t>
      </w:r>
      <w:r>
        <w:rPr>
          <w:rFonts w:ascii="宋体" w:eastAsia="宋体" w:hAnsi="宋体" w:cs="宋体" w:hint="eastAsia"/>
          <w:color w:val="333333"/>
          <w:sz w:val="29"/>
          <w:szCs w:val="29"/>
        </w:rPr>
        <w:t>昌茂大道41号</w:t>
      </w:r>
    </w:p>
    <w:p w:rsidR="00D243ED" w:rsidRPr="00D243ED" w:rsidRDefault="00D243ED" w:rsidP="00D243ED">
      <w:pPr>
        <w:adjustRightInd/>
        <w:snapToGrid/>
        <w:spacing w:before="225" w:after="0" w:line="400" w:lineRule="atLeast"/>
        <w:ind w:firstLine="748"/>
        <w:rPr>
          <w:rFonts w:ascii="宋体" w:eastAsia="宋体" w:hAnsi="宋体" w:cs="宋体"/>
          <w:sz w:val="24"/>
          <w:szCs w:val="24"/>
        </w:rPr>
      </w:pPr>
      <w:r w:rsidRPr="00D243ED">
        <w:rPr>
          <w:rFonts w:ascii="宋体" w:eastAsia="宋体" w:hAnsi="宋体" w:cs="宋体" w:hint="eastAsia"/>
          <w:color w:val="333333"/>
          <w:sz w:val="29"/>
          <w:szCs w:val="29"/>
        </w:rPr>
        <w:t>邮    编：4670</w:t>
      </w:r>
      <w:r>
        <w:rPr>
          <w:rFonts w:ascii="宋体" w:eastAsia="宋体" w:hAnsi="宋体" w:cs="宋体" w:hint="eastAsia"/>
          <w:color w:val="333333"/>
          <w:sz w:val="29"/>
          <w:szCs w:val="29"/>
        </w:rPr>
        <w:t>45</w:t>
      </w:r>
    </w:p>
    <w:p w:rsidR="00D243ED" w:rsidRPr="00D243ED" w:rsidRDefault="00D243ED" w:rsidP="00D243ED">
      <w:pPr>
        <w:adjustRightInd/>
        <w:snapToGrid/>
        <w:spacing w:before="225" w:after="0" w:line="480" w:lineRule="atLeast"/>
        <w:rPr>
          <w:rFonts w:ascii="宋体" w:eastAsia="宋体" w:hAnsi="宋体" w:cs="宋体"/>
          <w:sz w:val="24"/>
          <w:szCs w:val="24"/>
        </w:rPr>
      </w:pPr>
      <w:r w:rsidRPr="00D243ED">
        <w:rPr>
          <w:rFonts w:ascii="宋体" w:eastAsia="宋体" w:hAnsi="宋体" w:cs="宋体" w:hint="eastAsia"/>
          <w:b/>
          <w:bCs/>
          <w:color w:val="333333"/>
          <w:sz w:val="24"/>
          <w:szCs w:val="24"/>
        </w:rPr>
        <w:t> 作出的建设项目环境影响评价审批决定</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tblPr>
      <w:tblGrid>
        <w:gridCol w:w="833"/>
        <w:gridCol w:w="4470"/>
        <w:gridCol w:w="1888"/>
        <w:gridCol w:w="1325"/>
      </w:tblGrid>
      <w:tr w:rsidR="00D243ED" w:rsidRPr="00D243ED" w:rsidTr="00D243ED">
        <w:trPr>
          <w:trHeight w:val="706"/>
        </w:trPr>
        <w:tc>
          <w:tcPr>
            <w:tcW w:w="839" w:type="dxa"/>
            <w:tcMar>
              <w:top w:w="0" w:type="dxa"/>
              <w:left w:w="105" w:type="dxa"/>
              <w:bottom w:w="0" w:type="dxa"/>
              <w:right w:w="105" w:type="dxa"/>
            </w:tcMar>
            <w:vAlign w:val="center"/>
            <w:hideMark/>
          </w:tcPr>
          <w:p w:rsidR="00D243ED" w:rsidRPr="00D243ED" w:rsidRDefault="00D243ED" w:rsidP="00D243ED">
            <w:pPr>
              <w:adjustRightInd/>
              <w:snapToGrid/>
              <w:spacing w:after="0" w:line="450" w:lineRule="atLeast"/>
              <w:jc w:val="center"/>
              <w:rPr>
                <w:rFonts w:ascii="宋体" w:eastAsia="宋体" w:hAnsi="宋体" w:cs="宋体"/>
                <w:sz w:val="24"/>
                <w:szCs w:val="24"/>
              </w:rPr>
            </w:pPr>
            <w:r w:rsidRPr="00D243ED">
              <w:rPr>
                <w:rFonts w:ascii="宋体" w:eastAsia="宋体" w:hAnsi="宋体" w:cs="宋体" w:hint="eastAsia"/>
                <w:b/>
                <w:bCs/>
                <w:color w:val="333333"/>
                <w:sz w:val="24"/>
                <w:szCs w:val="24"/>
              </w:rPr>
              <w:t>序号</w:t>
            </w:r>
          </w:p>
        </w:tc>
        <w:tc>
          <w:tcPr>
            <w:tcW w:w="4529" w:type="dxa"/>
            <w:tcMar>
              <w:top w:w="0" w:type="dxa"/>
              <w:left w:w="105" w:type="dxa"/>
              <w:bottom w:w="0" w:type="dxa"/>
              <w:right w:w="105" w:type="dxa"/>
            </w:tcMar>
            <w:vAlign w:val="center"/>
            <w:hideMark/>
          </w:tcPr>
          <w:p w:rsidR="00D243ED" w:rsidRPr="00D243ED" w:rsidRDefault="00D243ED" w:rsidP="00D243ED">
            <w:pPr>
              <w:adjustRightInd/>
              <w:snapToGrid/>
              <w:spacing w:after="0" w:line="450" w:lineRule="atLeast"/>
              <w:jc w:val="center"/>
              <w:textAlignment w:val="bottom"/>
              <w:rPr>
                <w:rFonts w:ascii="宋体" w:eastAsia="宋体" w:hAnsi="宋体" w:cs="宋体"/>
                <w:sz w:val="24"/>
                <w:szCs w:val="24"/>
              </w:rPr>
            </w:pPr>
            <w:r w:rsidRPr="00D243ED">
              <w:rPr>
                <w:rFonts w:ascii="宋体" w:eastAsia="宋体" w:hAnsi="宋体" w:cs="宋体" w:hint="eastAsia"/>
                <w:b/>
                <w:bCs/>
                <w:color w:val="333333"/>
                <w:sz w:val="24"/>
                <w:szCs w:val="24"/>
              </w:rPr>
              <w:t>文件名称</w:t>
            </w:r>
          </w:p>
        </w:tc>
        <w:tc>
          <w:tcPr>
            <w:tcW w:w="1899" w:type="dxa"/>
            <w:tcMar>
              <w:top w:w="0" w:type="dxa"/>
              <w:left w:w="105" w:type="dxa"/>
              <w:bottom w:w="0" w:type="dxa"/>
              <w:right w:w="105" w:type="dxa"/>
            </w:tcMar>
            <w:vAlign w:val="center"/>
            <w:hideMark/>
          </w:tcPr>
          <w:p w:rsidR="00D243ED" w:rsidRPr="00D243ED" w:rsidRDefault="00D243ED" w:rsidP="00D243ED">
            <w:pPr>
              <w:adjustRightInd/>
              <w:snapToGrid/>
              <w:spacing w:after="0" w:line="450" w:lineRule="atLeast"/>
              <w:jc w:val="center"/>
              <w:rPr>
                <w:rFonts w:ascii="宋体" w:eastAsia="宋体" w:hAnsi="宋体" w:cs="宋体"/>
                <w:sz w:val="24"/>
                <w:szCs w:val="24"/>
              </w:rPr>
            </w:pPr>
            <w:r w:rsidRPr="00D243ED">
              <w:rPr>
                <w:rFonts w:ascii="宋体" w:eastAsia="宋体" w:hAnsi="宋体" w:cs="宋体" w:hint="eastAsia"/>
                <w:b/>
                <w:bCs/>
                <w:color w:val="333333"/>
                <w:sz w:val="24"/>
                <w:szCs w:val="24"/>
              </w:rPr>
              <w:t>文号</w:t>
            </w:r>
          </w:p>
        </w:tc>
        <w:tc>
          <w:tcPr>
            <w:tcW w:w="1335" w:type="dxa"/>
            <w:tcMar>
              <w:top w:w="0" w:type="dxa"/>
              <w:left w:w="105" w:type="dxa"/>
              <w:bottom w:w="0" w:type="dxa"/>
              <w:right w:w="105" w:type="dxa"/>
            </w:tcMar>
            <w:vAlign w:val="center"/>
            <w:hideMark/>
          </w:tcPr>
          <w:p w:rsidR="00D243ED" w:rsidRPr="00D243ED" w:rsidRDefault="00D243ED" w:rsidP="00D243ED">
            <w:pPr>
              <w:adjustRightInd/>
              <w:snapToGrid/>
              <w:spacing w:after="0" w:line="450" w:lineRule="atLeast"/>
              <w:jc w:val="center"/>
              <w:rPr>
                <w:rFonts w:ascii="宋体" w:eastAsia="宋体" w:hAnsi="宋体" w:cs="宋体"/>
                <w:sz w:val="24"/>
                <w:szCs w:val="24"/>
              </w:rPr>
            </w:pPr>
            <w:r w:rsidRPr="00D243ED">
              <w:rPr>
                <w:rFonts w:ascii="宋体" w:eastAsia="宋体" w:hAnsi="宋体" w:cs="宋体" w:hint="eastAsia"/>
                <w:b/>
                <w:bCs/>
                <w:color w:val="333333"/>
                <w:sz w:val="24"/>
                <w:szCs w:val="24"/>
              </w:rPr>
              <w:t>发文时间</w:t>
            </w:r>
          </w:p>
        </w:tc>
      </w:tr>
      <w:tr w:rsidR="00D243ED" w:rsidRPr="00D243ED" w:rsidTr="00D243ED">
        <w:trPr>
          <w:trHeight w:val="1108"/>
        </w:trPr>
        <w:tc>
          <w:tcPr>
            <w:tcW w:w="839" w:type="dxa"/>
            <w:tcMar>
              <w:top w:w="0" w:type="dxa"/>
              <w:left w:w="105" w:type="dxa"/>
              <w:bottom w:w="0" w:type="dxa"/>
              <w:right w:w="105" w:type="dxa"/>
            </w:tcMar>
            <w:vAlign w:val="center"/>
            <w:hideMark/>
          </w:tcPr>
          <w:p w:rsidR="00D243ED" w:rsidRPr="00D243ED" w:rsidRDefault="00D243ED" w:rsidP="00D243ED">
            <w:pPr>
              <w:adjustRightInd/>
              <w:snapToGrid/>
              <w:spacing w:after="0" w:line="450" w:lineRule="atLeast"/>
              <w:jc w:val="center"/>
              <w:rPr>
                <w:rFonts w:ascii="仿宋" w:eastAsia="仿宋" w:hAnsi="仿宋" w:cs="宋体"/>
                <w:sz w:val="24"/>
                <w:szCs w:val="24"/>
              </w:rPr>
            </w:pPr>
            <w:r w:rsidRPr="00D243ED">
              <w:rPr>
                <w:rFonts w:ascii="仿宋" w:eastAsia="仿宋" w:hAnsi="仿宋" w:cs="宋体" w:hint="eastAsia"/>
                <w:color w:val="333333"/>
                <w:sz w:val="24"/>
                <w:szCs w:val="24"/>
              </w:rPr>
              <w:t>1</w:t>
            </w:r>
          </w:p>
        </w:tc>
        <w:tc>
          <w:tcPr>
            <w:tcW w:w="4529" w:type="dxa"/>
            <w:tcMar>
              <w:top w:w="0" w:type="dxa"/>
              <w:left w:w="105" w:type="dxa"/>
              <w:bottom w:w="0" w:type="dxa"/>
              <w:right w:w="105" w:type="dxa"/>
            </w:tcMar>
            <w:vAlign w:val="center"/>
            <w:hideMark/>
          </w:tcPr>
          <w:p w:rsidR="00D243ED" w:rsidRPr="00D243ED" w:rsidRDefault="00D243ED" w:rsidP="00D243ED">
            <w:pPr>
              <w:adjustRightInd/>
              <w:snapToGrid/>
              <w:spacing w:after="0" w:line="450" w:lineRule="atLeast"/>
              <w:rPr>
                <w:rFonts w:ascii="仿宋" w:eastAsia="仿宋" w:hAnsi="仿宋" w:cs="宋体"/>
                <w:sz w:val="24"/>
                <w:szCs w:val="24"/>
              </w:rPr>
            </w:pPr>
            <w:r w:rsidRPr="00D243ED">
              <w:rPr>
                <w:rFonts w:ascii="仿宋" w:eastAsia="仿宋" w:hAnsi="仿宋" w:cs="宋体" w:hint="eastAsia"/>
                <w:color w:val="333333"/>
                <w:sz w:val="24"/>
                <w:szCs w:val="24"/>
              </w:rPr>
              <w:t>关于《平顶山市君安门窗有限公司门窗生产项目环境影响报告书》的批复意见</w:t>
            </w:r>
          </w:p>
        </w:tc>
        <w:tc>
          <w:tcPr>
            <w:tcW w:w="1899" w:type="dxa"/>
            <w:tcMar>
              <w:top w:w="0" w:type="dxa"/>
              <w:left w:w="105" w:type="dxa"/>
              <w:bottom w:w="0" w:type="dxa"/>
              <w:right w:w="105" w:type="dxa"/>
            </w:tcMar>
            <w:vAlign w:val="center"/>
            <w:hideMark/>
          </w:tcPr>
          <w:p w:rsidR="00D243ED" w:rsidRPr="00D243ED" w:rsidRDefault="00D243ED" w:rsidP="00D243ED">
            <w:pPr>
              <w:adjustRightInd/>
              <w:snapToGrid/>
              <w:spacing w:after="0" w:line="450" w:lineRule="atLeast"/>
              <w:jc w:val="center"/>
              <w:rPr>
                <w:rFonts w:ascii="仿宋" w:eastAsia="仿宋" w:hAnsi="仿宋" w:cs="宋体"/>
                <w:sz w:val="24"/>
                <w:szCs w:val="24"/>
              </w:rPr>
            </w:pPr>
            <w:r w:rsidRPr="00D243ED">
              <w:rPr>
                <w:rFonts w:ascii="仿宋" w:eastAsia="仿宋" w:hAnsi="仿宋" w:cs="宋体" w:hint="eastAsia"/>
                <w:color w:val="333333"/>
                <w:sz w:val="24"/>
                <w:szCs w:val="24"/>
              </w:rPr>
              <w:t>平龙环审［2020］01号</w:t>
            </w:r>
          </w:p>
        </w:tc>
        <w:tc>
          <w:tcPr>
            <w:tcW w:w="1335" w:type="dxa"/>
            <w:tcMar>
              <w:top w:w="0" w:type="dxa"/>
              <w:left w:w="105" w:type="dxa"/>
              <w:bottom w:w="0" w:type="dxa"/>
              <w:right w:w="105" w:type="dxa"/>
            </w:tcMar>
            <w:vAlign w:val="center"/>
            <w:hideMark/>
          </w:tcPr>
          <w:p w:rsidR="00D243ED" w:rsidRPr="00D243ED" w:rsidRDefault="00D243ED" w:rsidP="00D243ED">
            <w:pPr>
              <w:adjustRightInd/>
              <w:snapToGrid/>
              <w:spacing w:after="0" w:line="450" w:lineRule="atLeast"/>
              <w:jc w:val="center"/>
              <w:rPr>
                <w:rFonts w:ascii="仿宋" w:eastAsia="仿宋" w:hAnsi="仿宋" w:cs="宋体"/>
                <w:sz w:val="24"/>
                <w:szCs w:val="24"/>
              </w:rPr>
            </w:pPr>
            <w:r w:rsidRPr="00D243ED">
              <w:rPr>
                <w:rFonts w:ascii="仿宋" w:eastAsia="仿宋" w:hAnsi="仿宋" w:cs="宋体" w:hint="eastAsia"/>
                <w:color w:val="333333"/>
                <w:sz w:val="24"/>
                <w:szCs w:val="24"/>
              </w:rPr>
              <w:t>2020年3月20日</w:t>
            </w: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4416D4"/>
    <w:rsid w:val="005B6DD0"/>
    <w:rsid w:val="007F2A0C"/>
    <w:rsid w:val="008B7726"/>
    <w:rsid w:val="00D243ED"/>
    <w:rsid w:val="00D31D50"/>
    <w:rsid w:val="00E2250B"/>
    <w:rsid w:val="00E53DB7"/>
    <w:rsid w:val="00F272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43ED"/>
    <w:rPr>
      <w:color w:val="0000FF"/>
      <w:u w:val="single"/>
    </w:rPr>
  </w:style>
  <w:style w:type="paragraph" w:styleId="a4">
    <w:name w:val="Normal (Web)"/>
    <w:basedOn w:val="a"/>
    <w:uiPriority w:val="99"/>
    <w:unhideWhenUsed/>
    <w:rsid w:val="00D243ED"/>
    <w:pPr>
      <w:adjustRightInd/>
      <w:snapToGrid/>
      <w:spacing w:before="100" w:beforeAutospacing="1" w:after="100" w:afterAutospacing="1"/>
    </w:pPr>
    <w:rPr>
      <w:rFonts w:ascii="宋体" w:eastAsia="宋体" w:hAnsi="宋体" w:cs="宋体"/>
      <w:sz w:val="24"/>
      <w:szCs w:val="24"/>
    </w:rPr>
  </w:style>
  <w:style w:type="character" w:styleId="a5">
    <w:name w:val="Strong"/>
    <w:basedOn w:val="a0"/>
    <w:uiPriority w:val="22"/>
    <w:qFormat/>
    <w:rsid w:val="00D243ED"/>
    <w:rPr>
      <w:b/>
      <w:bCs/>
    </w:rPr>
  </w:style>
  <w:style w:type="paragraph" w:styleId="a6">
    <w:name w:val="Balloon Text"/>
    <w:basedOn w:val="a"/>
    <w:link w:val="Char"/>
    <w:uiPriority w:val="99"/>
    <w:semiHidden/>
    <w:unhideWhenUsed/>
    <w:rsid w:val="00D243ED"/>
    <w:pPr>
      <w:spacing w:after="0"/>
    </w:pPr>
    <w:rPr>
      <w:sz w:val="18"/>
      <w:szCs w:val="18"/>
    </w:rPr>
  </w:style>
  <w:style w:type="character" w:customStyle="1" w:styleId="Char">
    <w:name w:val="批注框文本 Char"/>
    <w:basedOn w:val="a0"/>
    <w:link w:val="a6"/>
    <w:uiPriority w:val="99"/>
    <w:semiHidden/>
    <w:rsid w:val="00D243ED"/>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21323493">
      <w:bodyDiv w:val="1"/>
      <w:marLeft w:val="0"/>
      <w:marRight w:val="0"/>
      <w:marTop w:val="0"/>
      <w:marBottom w:val="0"/>
      <w:divBdr>
        <w:top w:val="none" w:sz="0" w:space="0" w:color="auto"/>
        <w:left w:val="none" w:sz="0" w:space="0" w:color="auto"/>
        <w:bottom w:val="none" w:sz="0" w:space="0" w:color="auto"/>
        <w:right w:val="none" w:sz="0" w:space="0" w:color="auto"/>
      </w:divBdr>
      <w:divsChild>
        <w:div w:id="1392843938">
          <w:marLeft w:val="0"/>
          <w:marRight w:val="0"/>
          <w:marTop w:val="0"/>
          <w:marBottom w:val="0"/>
          <w:divBdr>
            <w:top w:val="none" w:sz="0" w:space="0" w:color="auto"/>
            <w:left w:val="none" w:sz="0" w:space="0" w:color="auto"/>
            <w:bottom w:val="none" w:sz="0" w:space="0" w:color="auto"/>
            <w:right w:val="none" w:sz="0" w:space="0" w:color="auto"/>
          </w:divBdr>
          <w:divsChild>
            <w:div w:id="1765375984">
              <w:marLeft w:val="0"/>
              <w:marRight w:val="0"/>
              <w:marTop w:val="0"/>
              <w:marBottom w:val="450"/>
              <w:divBdr>
                <w:top w:val="single" w:sz="6" w:space="8" w:color="DDDDDD"/>
                <w:left w:val="single" w:sz="6" w:space="23" w:color="DDDDDD"/>
                <w:bottom w:val="single" w:sz="6" w:space="8" w:color="DDDDDD"/>
                <w:right w:val="single" w:sz="6" w:space="23" w:color="DDDDDD"/>
              </w:divBdr>
              <w:divsChild>
                <w:div w:id="1501459594">
                  <w:marLeft w:val="0"/>
                  <w:marRight w:val="0"/>
                  <w:marTop w:val="0"/>
                  <w:marBottom w:val="0"/>
                  <w:divBdr>
                    <w:top w:val="none" w:sz="0" w:space="0" w:color="auto"/>
                    <w:left w:val="none" w:sz="0" w:space="0" w:color="auto"/>
                    <w:bottom w:val="single" w:sz="6" w:space="8" w:color="D3D3D3"/>
                    <w:right w:val="none" w:sz="0" w:space="0" w:color="auto"/>
                  </w:divBdr>
                </w:div>
                <w:div w:id="211381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2020-03-23T01:10:00Z</dcterms:modified>
</cp:coreProperties>
</file>