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jc w:val="center"/>
        <w:rPr>
          <w:rStyle w:val="7"/>
          <w:rFonts w:hint="eastAsia" w:ascii="仿宋_GB2312" w:hAnsi="仿宋_GB2312" w:eastAsia="仿宋_GB2312" w:cs="仿宋_GB2312"/>
          <w:b w:val="0"/>
          <w:bCs/>
          <w:sz w:val="32"/>
          <w:szCs w:val="32"/>
        </w:rPr>
      </w:pPr>
    </w:p>
    <w:p>
      <w:pPr>
        <w:pStyle w:val="10"/>
        <w:widowControl/>
        <w:jc w:val="center"/>
        <w:rPr>
          <w:rFonts w:ascii="仿宋_GB2312" w:hAnsi="仿宋_GB2312" w:eastAsia="仿宋_GB2312" w:cs="仿宋_GB2312"/>
          <w:sz w:val="32"/>
          <w:szCs w:val="32"/>
        </w:rPr>
      </w:pPr>
      <w:r>
        <w:rPr>
          <w:rStyle w:val="7"/>
          <w:rFonts w:hint="eastAsia" w:ascii="仿宋_GB2312" w:hAnsi="仿宋_GB2312" w:eastAsia="仿宋_GB2312" w:cs="仿宋_GB2312"/>
          <w:b w:val="0"/>
          <w:bCs/>
          <w:sz w:val="32"/>
          <w:szCs w:val="32"/>
        </w:rPr>
        <w:t>平龙政土〔2021〕</w:t>
      </w:r>
      <w:r>
        <w:rPr>
          <w:rStyle w:val="7"/>
          <w:rFonts w:hint="eastAsia" w:ascii="仿宋_GB2312" w:hAnsi="仿宋_GB2312" w:eastAsia="仿宋_GB2312" w:cs="仿宋_GB2312"/>
          <w:b w:val="0"/>
          <w:bCs/>
          <w:sz w:val="32"/>
          <w:szCs w:val="32"/>
          <w:lang w:val="en-US" w:eastAsia="zh-CN"/>
        </w:rPr>
        <w:t>2</w:t>
      </w:r>
      <w:bookmarkStart w:id="0" w:name="_GoBack"/>
      <w:bookmarkEnd w:id="0"/>
      <w:r>
        <w:rPr>
          <w:rStyle w:val="7"/>
          <w:rFonts w:hint="eastAsia" w:ascii="仿宋_GB2312" w:hAnsi="仿宋_GB2312" w:eastAsia="仿宋_GB2312" w:cs="仿宋_GB2312"/>
          <w:b w:val="0"/>
          <w:bCs/>
          <w:sz w:val="32"/>
          <w:szCs w:val="32"/>
        </w:rPr>
        <w:t xml:space="preserve"> 号</w:t>
      </w:r>
    </w:p>
    <w:p>
      <w:pPr>
        <w:pStyle w:val="10"/>
        <w:widowControl/>
        <w:spacing w:line="700" w:lineRule="exact"/>
        <w:ind w:firstLine="1980" w:firstLineChars="450"/>
        <w:rPr>
          <w:rStyle w:val="7"/>
          <w:rFonts w:hint="eastAsia" w:ascii="方正小标宋简体" w:hAnsi="方正小标宋_GBK" w:eastAsia="方正小标宋简体" w:cs="方正小标宋_GBK"/>
          <w:b w:val="0"/>
          <w:bCs/>
          <w:sz w:val="44"/>
          <w:szCs w:val="44"/>
        </w:rPr>
      </w:pPr>
      <w:r>
        <w:rPr>
          <w:rStyle w:val="7"/>
          <w:rFonts w:hint="eastAsia" w:ascii="方正小标宋简体" w:hAnsi="方正小标宋_GBK" w:eastAsia="方正小标宋简体" w:cs="方正小标宋_GBK"/>
          <w:b w:val="0"/>
          <w:bCs/>
          <w:sz w:val="44"/>
          <w:szCs w:val="44"/>
        </w:rPr>
        <w:t>平顶山市石龙区人民政府</w:t>
      </w:r>
    </w:p>
    <w:p>
      <w:pPr>
        <w:pStyle w:val="10"/>
        <w:widowControl/>
        <w:spacing w:line="700" w:lineRule="exact"/>
        <w:jc w:val="center"/>
        <w:rPr>
          <w:rFonts w:hint="eastAsia"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44"/>
          <w:szCs w:val="44"/>
        </w:rPr>
        <w:t>拟征收土地补偿安置方案公告</w:t>
      </w:r>
    </w:p>
    <w:p>
      <w:pPr>
        <w:pStyle w:val="10"/>
        <w:widowControl/>
        <w:spacing w:line="440" w:lineRule="exact"/>
        <w:jc w:val="center"/>
        <w:rPr>
          <w:rStyle w:val="7"/>
          <w:rFonts w:ascii="仿宋_GB2312" w:hAnsi="仿宋_GB2312" w:eastAsia="仿宋_GB2312" w:cs="仿宋_GB2312"/>
          <w:b w:val="0"/>
          <w:bCs/>
          <w:sz w:val="32"/>
          <w:szCs w:val="32"/>
        </w:rPr>
      </w:pPr>
    </w:p>
    <w:p>
      <w:pPr>
        <w:pStyle w:val="10"/>
        <w:widowControl/>
        <w:spacing w:line="320" w:lineRule="exact"/>
        <w:ind w:firstLine="640" w:firstLineChars="200"/>
        <w:rPr>
          <w:rFonts w:ascii="仿宋_GB2312" w:hAnsi="仿宋_GB2312" w:eastAsia="仿宋_GB2312" w:cs="仿宋_GB2312"/>
          <w:sz w:val="32"/>
          <w:szCs w:val="32"/>
        </w:rPr>
      </w:pPr>
    </w:p>
    <w:p>
      <w:pPr>
        <w:pStyle w:val="10"/>
        <w:widowControl/>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为保障全区经济社会发展用地需要，拟征收龙河街道办事处贾岭、大刘、嘴陈社区和人民路街道夏庄社区集体土地。根据《中华人民共和国土地管理法》等法律法规的规定，经区人民政府研究决定，现发布拟征收土地补偿安置方案公告如下：</w:t>
      </w:r>
    </w:p>
    <w:p>
      <w:pPr>
        <w:pStyle w:val="10"/>
        <w:widowControl/>
        <w:spacing w:line="560" w:lineRule="exact"/>
        <w:ind w:firstLine="640" w:firstLineChars="200"/>
        <w:rPr>
          <w:rFonts w:hint="eastAsia" w:ascii="黑体" w:hAnsi="仿宋" w:eastAsia="黑体" w:cs="黑体"/>
          <w:sz w:val="32"/>
          <w:szCs w:val="32"/>
        </w:rPr>
      </w:pPr>
      <w:r>
        <w:rPr>
          <w:rFonts w:hint="eastAsia" w:ascii="黑体" w:hAnsi="仿宋" w:eastAsia="黑体" w:cs="黑体"/>
          <w:sz w:val="32"/>
          <w:szCs w:val="32"/>
        </w:rPr>
        <w:t>一、拟征收土地的位置、地类及面积</w:t>
      </w:r>
    </w:p>
    <w:p>
      <w:pPr>
        <w:pStyle w:val="10"/>
        <w:widowControl/>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本次拟征收地块位于龙河街道办事处大刘、嘴陈、贾岭社区和人民路街道夏庄社区，地块1位于龙河街道的大刘社区、嘴陈社区和人民路街道夏庄社区，四至为东至大刘社区，西至兴龙路、北至嘴陈社区，南至东鑫焦化厂。地块2位于龙河街道贾岭社区，四至为东至贾岭荒地，西至连心路、北至贾岭荒地，南至贾岭荒地。土地总面积5.0076公顷，其中集体农用地1.8385公顷（其中耕地1.6742公顷、交通用地0.1643公顷）、建设用地1.1851公顷、未利用地1.9840公顷。</w:t>
      </w:r>
    </w:p>
    <w:p>
      <w:pPr>
        <w:pStyle w:val="10"/>
        <w:widowControl/>
        <w:spacing w:line="560" w:lineRule="exact"/>
        <w:ind w:firstLine="640" w:firstLineChars="200"/>
        <w:rPr>
          <w:rFonts w:hint="eastAsia" w:ascii="黑体" w:hAnsi="仿宋" w:eastAsia="黑体" w:cs="黑体"/>
          <w:sz w:val="32"/>
          <w:szCs w:val="32"/>
        </w:rPr>
      </w:pPr>
      <w:r>
        <w:rPr>
          <w:rFonts w:hint="eastAsia" w:ascii="黑体" w:hAnsi="仿宋" w:eastAsia="黑体" w:cs="黑体"/>
          <w:sz w:val="32"/>
          <w:szCs w:val="32"/>
        </w:rPr>
        <w:t>二、拟征收土地目的</w:t>
      </w:r>
    </w:p>
    <w:p>
      <w:pPr>
        <w:pStyle w:val="10"/>
        <w:widowControl/>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本次拟征收土地用于交通运输用地和商服用地项目开发建设，符合法律规定的可以征收情形。</w:t>
      </w:r>
    </w:p>
    <w:p>
      <w:pPr>
        <w:pStyle w:val="10"/>
        <w:widowControl/>
        <w:spacing w:line="560" w:lineRule="exact"/>
        <w:ind w:firstLine="640" w:firstLineChars="200"/>
        <w:rPr>
          <w:rFonts w:hint="eastAsia" w:ascii="黑体" w:hAnsi="仿宋" w:eastAsia="黑体" w:cs="仿宋_GB2312"/>
          <w:sz w:val="32"/>
          <w:szCs w:val="32"/>
        </w:rPr>
      </w:pPr>
      <w:r>
        <w:rPr>
          <w:rFonts w:hint="eastAsia" w:ascii="黑体" w:hAnsi="仿宋" w:eastAsia="黑体" w:cs="黑体"/>
          <w:sz w:val="32"/>
          <w:szCs w:val="32"/>
        </w:rPr>
        <w:t>三、拟征收土地补偿标准</w:t>
      </w:r>
    </w:p>
    <w:p>
      <w:pPr>
        <w:pStyle w:val="10"/>
        <w:widowControl/>
        <w:spacing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一）土地征收补偿安置费标准：按照《河南省人民政府关于调整河南省征地区片综合地价的通知》（豫政〔2016〕48号）公布的石龙区征地区片综合地价标准执行。本次拟征地共涉及1个征地区片，按照Ⅰ级区片补偿75万元/公顷的标准，并依据《土地勘测调查清单》确定的现状地类，土地征收补偿安置费总额为375.5700万元。</w:t>
      </w:r>
    </w:p>
    <w:p>
      <w:pPr>
        <w:pStyle w:val="10"/>
        <w:widowControl/>
        <w:spacing w:line="560" w:lineRule="exact"/>
        <w:ind w:firstLine="640" w:firstLineChars="200"/>
        <w:jc w:val="both"/>
        <w:rPr>
          <w:rFonts w:hint="eastAsia" w:ascii="仿宋_GB2312" w:hAnsi="仿宋" w:eastAsia="仿宋_GB2312" w:cs="仿宋_GB2312"/>
          <w:sz w:val="32"/>
          <w:szCs w:val="32"/>
          <w:u w:val="single"/>
        </w:rPr>
      </w:pPr>
      <w:r>
        <w:rPr>
          <w:rFonts w:hint="eastAsia" w:ascii="仿宋_GB2312" w:hAnsi="仿宋" w:eastAsia="仿宋_GB2312" w:cs="仿宋_GB2312"/>
          <w:sz w:val="32"/>
          <w:szCs w:val="32"/>
        </w:rPr>
        <w:t>（二）地上附着物和青苗补偿标准：本次拟征收土地涉及地上附着物和青苗补偿标准按照《平顶山市人民政府关于印发平顶山市征地青苗及地上附着物补偿标准的通知》(平政〔2017〕33号)规定执行。</w:t>
      </w:r>
    </w:p>
    <w:p>
      <w:pPr>
        <w:pStyle w:val="10"/>
        <w:widowControl/>
        <w:spacing w:line="560" w:lineRule="exact"/>
        <w:ind w:firstLine="640" w:firstLineChars="200"/>
        <w:jc w:val="both"/>
        <w:rPr>
          <w:rFonts w:hint="eastAsia" w:ascii="黑体" w:hAnsi="仿宋" w:eastAsia="黑体" w:cs="黑体"/>
          <w:sz w:val="32"/>
          <w:szCs w:val="32"/>
        </w:rPr>
      </w:pPr>
      <w:r>
        <w:rPr>
          <w:rFonts w:hint="eastAsia" w:ascii="黑体" w:hAnsi="仿宋" w:eastAsia="黑体" w:cs="黑体"/>
          <w:sz w:val="32"/>
          <w:szCs w:val="32"/>
        </w:rPr>
        <w:t>四、安置意见</w:t>
      </w:r>
    </w:p>
    <w:p>
      <w:pPr>
        <w:pStyle w:val="10"/>
        <w:widowControl/>
        <w:spacing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按照相关法律法规规定，经与土地所有权人、使用权人协商，对拟征收土地涉及的农业人口采取以下方式安置：  </w:t>
      </w:r>
    </w:p>
    <w:p>
      <w:pPr>
        <w:pStyle w:val="10"/>
        <w:widowControl/>
        <w:spacing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一）货币安置：土地征收补偿安置费和青苗费总计375.5700万元，由石龙区财政拨付龙河街道办事处、人民路街道办事处，再由办事处拨付到大刘、嘴陈、贾岭、夏庄社区居委会账户，由社区集体经济组织按照村民议事规定依法依规落实具体分配方案。</w:t>
      </w:r>
    </w:p>
    <w:p>
      <w:pPr>
        <w:pStyle w:val="10"/>
        <w:widowControl/>
        <w:spacing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二）社会保障安置：区人民政府对本次拟征收土地按照65.4万元/公顷标准，一次性支付被征地农民社会保障费327.4970万元，由区财政局将上述费用于征收土地报批前一次性划入区财政局社会保障资金专户。土地征收经批准后，由区人力资源和社会保障局会同龙河街道办事处及大刘、嘴陈、贾岭社区和人民路街道办事处夏庄社区居委会落实被征地农民社会保障工作。</w:t>
      </w:r>
    </w:p>
    <w:p>
      <w:pPr>
        <w:pStyle w:val="10"/>
        <w:widowControl/>
        <w:spacing w:line="560" w:lineRule="exact"/>
        <w:ind w:firstLine="640" w:firstLineChars="200"/>
        <w:rPr>
          <w:rFonts w:hint="eastAsia" w:ascii="黑体" w:hAnsi="仿宋" w:eastAsia="黑体" w:cs="黑体"/>
          <w:sz w:val="32"/>
          <w:szCs w:val="32"/>
        </w:rPr>
      </w:pPr>
      <w:r>
        <w:rPr>
          <w:rFonts w:hint="eastAsia" w:ascii="黑体" w:hAnsi="仿宋" w:eastAsia="黑体" w:cs="黑体"/>
          <w:sz w:val="32"/>
          <w:szCs w:val="32"/>
        </w:rPr>
        <w:t>五、其他事项</w:t>
      </w:r>
    </w:p>
    <w:p>
      <w:pPr>
        <w:pStyle w:val="10"/>
        <w:widowControl/>
        <w:spacing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此方案在本次拟征收土地涉及的农村集体经济组织所在地予以公告，同时在河南省征地信息公开查询系统中公告。</w:t>
      </w:r>
      <w:r>
        <w:rPr>
          <w:rFonts w:hint="eastAsia" w:ascii="仿宋_GB2312" w:hAnsi="仿宋" w:eastAsia="仿宋_GB2312" w:cs="仿宋_GB2312"/>
          <w:sz w:val="32"/>
        </w:rPr>
        <w:t>被征收土地四至范围内的土地</w:t>
      </w:r>
      <w:r>
        <w:rPr>
          <w:rFonts w:hint="eastAsia" w:ascii="仿宋_GB2312" w:hAnsi="仿宋" w:eastAsia="仿宋_GB2312" w:cs="仿宋_GB2312"/>
          <w:sz w:val="32"/>
          <w:szCs w:val="32"/>
        </w:rPr>
        <w:t>所有权人、</w:t>
      </w:r>
      <w:r>
        <w:rPr>
          <w:rFonts w:hint="eastAsia" w:ascii="仿宋_GB2312" w:hAnsi="仿宋" w:eastAsia="仿宋_GB2312" w:cs="仿宋_GB2312"/>
          <w:sz w:val="32"/>
        </w:rPr>
        <w:t>使用权人在公告期内</w:t>
      </w:r>
      <w:r>
        <w:rPr>
          <w:rFonts w:hint="eastAsia" w:ascii="仿宋_GB2312" w:hAnsi="仿宋_GB2312" w:eastAsia="仿宋_GB2312"/>
          <w:sz w:val="32"/>
        </w:rPr>
        <w:t>由所在街道办事处、被征地集体组织、附着物青苗所有者和国土资源局共同清点、签字确认，办理补偿登记手续，按标准据实核算。如</w:t>
      </w:r>
      <w:r>
        <w:rPr>
          <w:rFonts w:hint="eastAsia" w:ascii="仿宋_GB2312" w:hAnsi="仿宋" w:eastAsia="仿宋_GB2312" w:cs="仿宋_GB2312"/>
          <w:sz w:val="32"/>
        </w:rPr>
        <w:t>对本方案内容如有异议或要求举行听证会的，应在本公告发布之日起30日内以社区为单位，</w:t>
      </w:r>
      <w:r>
        <w:rPr>
          <w:rFonts w:hint="eastAsia" w:ascii="仿宋_GB2312" w:hAnsi="仿宋" w:eastAsia="仿宋_GB2312" w:cs="仿宋_GB2312"/>
          <w:sz w:val="32"/>
          <w:szCs w:val="32"/>
        </w:rPr>
        <w:t>向石龙区人民政府提出书面听证申请，由石龙区人民政府按规定组织听证；也可以在本方案公告之日起60日内向上一级人民政府申请行政复议。</w:t>
      </w:r>
    </w:p>
    <w:p>
      <w:pPr>
        <w:pStyle w:val="10"/>
        <w:widowControl/>
        <w:spacing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特此公告。</w:t>
      </w:r>
    </w:p>
    <w:p>
      <w:pPr>
        <w:pStyle w:val="11"/>
        <w:spacing w:line="560" w:lineRule="exact"/>
        <w:ind w:firstLine="5110" w:firstLineChars="1597"/>
        <w:rPr>
          <w:rFonts w:hint="eastAsia" w:ascii="仿宋_GB2312" w:hAnsi="仿宋"/>
        </w:rPr>
      </w:pPr>
    </w:p>
    <w:p>
      <w:pPr>
        <w:pStyle w:val="11"/>
        <w:spacing w:line="560" w:lineRule="exact"/>
        <w:ind w:firstLine="5110" w:firstLineChars="1597"/>
        <w:rPr>
          <w:rFonts w:hint="eastAsia" w:ascii="仿宋_GB2312" w:hAnsi="仿宋"/>
        </w:rPr>
      </w:pPr>
    </w:p>
    <w:p>
      <w:pPr>
        <w:pStyle w:val="11"/>
        <w:spacing w:line="560" w:lineRule="exact"/>
        <w:ind w:firstLine="5110" w:firstLineChars="1597"/>
        <w:rPr>
          <w:rFonts w:hint="eastAsia" w:ascii="仿宋_GB2312" w:hAnsi="仿宋"/>
        </w:rPr>
      </w:pPr>
    </w:p>
    <w:p>
      <w:pPr>
        <w:pStyle w:val="11"/>
        <w:spacing w:line="560" w:lineRule="exact"/>
        <w:ind w:firstLine="5110" w:firstLineChars="1597"/>
        <w:rPr>
          <w:rFonts w:hint="eastAsia" w:ascii="仿宋_GB2312" w:hAnsi="仿宋"/>
        </w:rPr>
      </w:pPr>
      <w:r>
        <w:rPr>
          <w:rFonts w:hint="eastAsia" w:ascii="仿宋_GB2312" w:hAnsi="仿宋"/>
        </w:rPr>
        <w:t>2021年 1月28日</w:t>
      </w:r>
    </w:p>
    <w:p>
      <w:pPr>
        <w:spacing w:line="560" w:lineRule="exact"/>
        <w:rPr>
          <w:rFonts w:hint="eastAsia" w:ascii="仿宋_GB2312" w:hAnsi="仿宋" w:eastAsia="仿宋_GB2312" w:cs="仿宋_GB2312"/>
          <w:sz w:val="32"/>
          <w:szCs w:val="32"/>
        </w:rPr>
      </w:pPr>
      <w:r>
        <w:rPr>
          <w:rFonts w:hint="eastAsia" w:ascii="仿宋_GB2312" w:hAnsi="仿宋" w:eastAsia="仿宋_GB2312" w:cs="仿宋_GB2312"/>
          <w:sz w:val="32"/>
          <w:szCs w:val="32"/>
        </w:rPr>
        <w:t>（联系人：王英歌  电话：0375-7069182）</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GZR60BAABK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s8d6cPscakh4Bpabj2Q84c/RGdWfSgwOYvyiEY&#10;xz4fzr2VQyIiP1oulssKQwJj0wVx2MvzADHdSW9JNhoKOLzSU77/HNMpdUrJ1Zy/1cagn9fG/eVA&#10;zOxhmfuJY7bSsBlG4hvfHlBPj3NvqMPFpMTcO2xrXpHJgMnYTMYugN52ZYdyvRiudglJFG65wgl2&#10;LIwDK+rG5cob8fpesl5+gfU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UBmUetAQAASgMA&#10;AA4AAAAAAAAAAQAgAAAAHgEAAGRycy9lMm9Eb2MueG1sUEsFBgAAAAAGAAYAWQEAAD0FAAAAAA==&#10;">
          <v:path/>
          <v:fill on="f" focussize="0,0"/>
          <v:stroke on="f" joinstyle="miter"/>
          <v:imagedata o:title=""/>
          <o:lock v:ext="edit"/>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4764E"/>
    <w:rsid w:val="0004764E"/>
    <w:rsid w:val="000618FF"/>
    <w:rsid w:val="00064027"/>
    <w:rsid w:val="000A377E"/>
    <w:rsid w:val="001838E5"/>
    <w:rsid w:val="002076B6"/>
    <w:rsid w:val="0021485B"/>
    <w:rsid w:val="00270164"/>
    <w:rsid w:val="002D5322"/>
    <w:rsid w:val="003515DB"/>
    <w:rsid w:val="003D6F44"/>
    <w:rsid w:val="00420D78"/>
    <w:rsid w:val="00462B40"/>
    <w:rsid w:val="00490339"/>
    <w:rsid w:val="00490740"/>
    <w:rsid w:val="005B7877"/>
    <w:rsid w:val="00610E6E"/>
    <w:rsid w:val="006E5091"/>
    <w:rsid w:val="00790F79"/>
    <w:rsid w:val="007B734F"/>
    <w:rsid w:val="00883030"/>
    <w:rsid w:val="008915B5"/>
    <w:rsid w:val="008A7C3D"/>
    <w:rsid w:val="009E60B3"/>
    <w:rsid w:val="00A95B04"/>
    <w:rsid w:val="00AB545B"/>
    <w:rsid w:val="00AC4B4B"/>
    <w:rsid w:val="00B01441"/>
    <w:rsid w:val="00B616A7"/>
    <w:rsid w:val="00B73E6A"/>
    <w:rsid w:val="00BB40E3"/>
    <w:rsid w:val="00C274AF"/>
    <w:rsid w:val="00D35A0B"/>
    <w:rsid w:val="00D73CC1"/>
    <w:rsid w:val="00D84306"/>
    <w:rsid w:val="00E64C1F"/>
    <w:rsid w:val="00F056E3"/>
    <w:rsid w:val="00F20350"/>
    <w:rsid w:val="00F859BF"/>
    <w:rsid w:val="00F973A8"/>
    <w:rsid w:val="00FF2F11"/>
    <w:rsid w:val="0EA123C9"/>
    <w:rsid w:val="108625B8"/>
    <w:rsid w:val="241919AC"/>
    <w:rsid w:val="54980B97"/>
    <w:rsid w:val="658C0B65"/>
    <w:rsid w:val="76771934"/>
    <w:rsid w:val="7F2F0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7">
    <w:name w:val="Strong"/>
    <w:basedOn w:val="6"/>
    <w:qFormat/>
    <w:uiPriority w:val="0"/>
    <w:rPr>
      <w:b/>
    </w:rPr>
  </w:style>
  <w:style w:type="character" w:styleId="8">
    <w:name w:val="FollowedHyperlink"/>
    <w:basedOn w:val="6"/>
    <w:qFormat/>
    <w:uiPriority w:val="0"/>
    <w:rPr>
      <w:rFonts w:hint="eastAsia" w:ascii="微软雅黑" w:hAnsi="微软雅黑" w:eastAsia="微软雅黑" w:cs="微软雅黑"/>
      <w:color w:val="800080"/>
      <w:sz w:val="24"/>
      <w:szCs w:val="24"/>
      <w:u w:val="none"/>
    </w:rPr>
  </w:style>
  <w:style w:type="character" w:styleId="9">
    <w:name w:val="Hyperlink"/>
    <w:basedOn w:val="6"/>
    <w:qFormat/>
    <w:uiPriority w:val="0"/>
    <w:rPr>
      <w:rFonts w:hint="eastAsia" w:ascii="微软雅黑" w:hAnsi="微软雅黑" w:eastAsia="微软雅黑" w:cs="微软雅黑"/>
      <w:color w:val="0000FF"/>
      <w:sz w:val="24"/>
      <w:szCs w:val="24"/>
      <w:u w:val="none"/>
    </w:rPr>
  </w:style>
  <w:style w:type="paragraph" w:customStyle="1" w:styleId="10">
    <w:name w:val="普通(网站)1"/>
    <w:basedOn w:val="1"/>
    <w:qFormat/>
    <w:uiPriority w:val="0"/>
    <w:pPr>
      <w:jc w:val="left"/>
    </w:pPr>
    <w:rPr>
      <w:rFonts w:ascii="微软雅黑" w:hAnsi="微软雅黑" w:eastAsia="微软雅黑" w:cs="微软雅黑"/>
      <w:kern w:val="0"/>
      <w:sz w:val="24"/>
    </w:rPr>
  </w:style>
  <w:style w:type="paragraph" w:customStyle="1" w:styleId="11">
    <w:name w:val="bgs"/>
    <w:basedOn w:val="1"/>
    <w:qFormat/>
    <w:uiPriority w:val="0"/>
    <w:pPr>
      <w:spacing w:line="454" w:lineRule="atLeast"/>
      <w:ind w:firstLine="419"/>
    </w:pPr>
    <w:rPr>
      <w:rFonts w:eastAsia="仿宋_GB2312"/>
      <w:sz w:val="32"/>
    </w:rPr>
  </w:style>
  <w:style w:type="character" w:customStyle="1" w:styleId="12">
    <w:name w:val="批注框文本 Char"/>
    <w:basedOn w:val="6"/>
    <w:link w:val="2"/>
    <w:qFormat/>
    <w:uiPriority w:val="0"/>
    <w:rPr>
      <w:rFonts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ECEACA-91FF-4095-AEF8-E922B3D78EBB}">
  <ds:schemaRefs/>
</ds:datastoreItem>
</file>

<file path=docProps/app.xml><?xml version="1.0" encoding="utf-8"?>
<Properties xmlns="http://schemas.openxmlformats.org/officeDocument/2006/extended-properties" xmlns:vt="http://schemas.openxmlformats.org/officeDocument/2006/docPropsVTypes">
  <Template>Normal</Template>
  <Pages>3</Pages>
  <Words>1233</Words>
  <Characters>115</Characters>
  <Lines>1</Lines>
  <Paragraphs>2</Paragraphs>
  <TotalTime>113</TotalTime>
  <ScaleCrop>false</ScaleCrop>
  <LinksUpToDate>false</LinksUpToDate>
  <CharactersWithSpaces>1346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2020-04-13T02:03:00Z</dcterms:created>
  <dc:creator>刘</dc:creator>
  <cp:lastModifiedBy>Administrator</cp:lastModifiedBy>
  <cp:lastPrinted>2021-02-01T01:03:42Z</cp:lastPrinted>
  <dcterms:modified xsi:type="dcterms:W3CDTF">2021-02-01T02:48:36Z</dcterms:modified>
  <dc:title>Administrator</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