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84"/>
          <w:szCs w:val="84"/>
        </w:rPr>
      </w:pPr>
      <w:r>
        <w:rPr>
          <w:rFonts w:hint="eastAsia" w:ascii="宋体" w:hAnsi="宋体"/>
          <w:b/>
          <w:color w:val="FF0000"/>
          <w:sz w:val="84"/>
          <w:szCs w:val="84"/>
        </w:rPr>
        <w:t>应</w:t>
      </w:r>
      <w:r>
        <w:rPr>
          <w:rFonts w:ascii="宋体" w:hAnsi="宋体"/>
          <w:b/>
          <w:color w:val="FF0000"/>
          <w:sz w:val="84"/>
          <w:szCs w:val="84"/>
        </w:rPr>
        <w:t xml:space="preserve"> </w:t>
      </w:r>
      <w:r>
        <w:rPr>
          <w:rFonts w:hint="eastAsia" w:ascii="宋体" w:hAnsi="宋体"/>
          <w:b/>
          <w:color w:val="FF0000"/>
          <w:sz w:val="84"/>
          <w:szCs w:val="84"/>
        </w:rPr>
        <w:t>急</w:t>
      </w:r>
      <w:r>
        <w:rPr>
          <w:rFonts w:ascii="宋体" w:hAnsi="宋体"/>
          <w:b/>
          <w:color w:val="FF0000"/>
          <w:sz w:val="84"/>
          <w:szCs w:val="84"/>
        </w:rPr>
        <w:t xml:space="preserve"> </w:t>
      </w:r>
      <w:r>
        <w:rPr>
          <w:rFonts w:hint="eastAsia" w:ascii="宋体" w:hAnsi="宋体"/>
          <w:b/>
          <w:color w:val="FF0000"/>
          <w:sz w:val="84"/>
          <w:szCs w:val="84"/>
        </w:rPr>
        <w:t>管</w:t>
      </w:r>
      <w:r>
        <w:rPr>
          <w:rFonts w:ascii="宋体" w:hAnsi="宋体"/>
          <w:b/>
          <w:color w:val="FF0000"/>
          <w:sz w:val="84"/>
          <w:szCs w:val="84"/>
        </w:rPr>
        <w:t xml:space="preserve"> </w:t>
      </w:r>
      <w:r>
        <w:rPr>
          <w:rFonts w:hint="eastAsia" w:ascii="宋体" w:hAnsi="宋体"/>
          <w:b/>
          <w:color w:val="FF0000"/>
          <w:sz w:val="84"/>
          <w:szCs w:val="84"/>
        </w:rPr>
        <w:t>理</w:t>
      </w:r>
      <w:r>
        <w:rPr>
          <w:rFonts w:ascii="宋体" w:hAnsi="宋体"/>
          <w:b/>
          <w:color w:val="FF0000"/>
          <w:sz w:val="84"/>
          <w:szCs w:val="84"/>
        </w:rPr>
        <w:t xml:space="preserve"> </w:t>
      </w:r>
      <w:r>
        <w:rPr>
          <w:rFonts w:hint="eastAsia" w:ascii="宋体" w:hAnsi="宋体"/>
          <w:b/>
          <w:color w:val="FF0000"/>
          <w:sz w:val="84"/>
          <w:szCs w:val="84"/>
        </w:rPr>
        <w:t>信</w:t>
      </w:r>
      <w:r>
        <w:rPr>
          <w:rFonts w:ascii="宋体" w:hAnsi="宋体"/>
          <w:b/>
          <w:color w:val="FF0000"/>
          <w:sz w:val="84"/>
          <w:szCs w:val="84"/>
        </w:rPr>
        <w:t xml:space="preserve"> </w:t>
      </w:r>
      <w:r>
        <w:rPr>
          <w:rFonts w:hint="eastAsia" w:ascii="宋体" w:hAnsi="宋体"/>
          <w:b/>
          <w:color w:val="FF0000"/>
          <w:sz w:val="84"/>
          <w:szCs w:val="84"/>
        </w:rPr>
        <w:t>息</w:t>
      </w:r>
    </w:p>
    <w:p>
      <w:pPr>
        <w:spacing w:line="700" w:lineRule="exact"/>
        <w:ind w:firstLine="640"/>
        <w:jc w:val="center"/>
        <w:textAlignment w:val="baseline"/>
        <w:rPr>
          <w:rFonts w:hint="eastAsia" w:ascii="仿宋_GB2312" w:hAnsi="仿宋_GB2312" w:eastAsia="仿宋_GB2312" w:cs="仿宋_GB2312"/>
          <w:color w:val="000000"/>
          <w:spacing w:val="-10"/>
          <w:sz w:val="28"/>
          <w:szCs w:val="28"/>
        </w:rPr>
      </w:pPr>
      <w:r>
        <w:rPr>
          <w:rFonts w:hint="eastAsia" w:ascii="仿宋_GB2312" w:hAnsi="仿宋_GB2312" w:eastAsia="仿宋_GB2312"/>
          <w:color w:val="0D0D0D" w:themeColor="text1" w:themeTint="F2"/>
          <w:sz w:val="32"/>
          <w:szCs w:val="32"/>
          <w14:textFill>
            <w14:solidFill>
              <w14:schemeClr w14:val="tx1">
                <w14:lumMod w14:val="95000"/>
                <w14:lumOff w14:val="5000"/>
              </w14:schemeClr>
            </w14:solidFill>
          </w14:textFill>
        </w:rPr>
        <w:t>第</w:t>
      </w:r>
      <w:r>
        <w:rPr>
          <w:rFonts w:hint="eastAsia" w:ascii="仿宋_GB2312" w:hAnsi="仿宋_GB2312" w:eastAsia="仿宋_GB2312"/>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仿宋_GB2312" w:hAnsi="仿宋_GB2312" w:eastAsia="仿宋_GB2312"/>
          <w:color w:val="0D0D0D" w:themeColor="text1" w:themeTint="F2"/>
          <w:sz w:val="32"/>
          <w:szCs w:val="32"/>
          <w14:textFill>
            <w14:solidFill>
              <w14:schemeClr w14:val="tx1">
                <w14:lumMod w14:val="95000"/>
                <w14:lumOff w14:val="5000"/>
              </w14:schemeClr>
            </w14:solidFill>
          </w14:textFill>
        </w:rPr>
        <w:t>期</w:t>
      </w:r>
    </w:p>
    <w:p>
      <w:pPr>
        <w:spacing w:line="500" w:lineRule="exact"/>
        <w:ind w:firstLine="520" w:firstLineChars="200"/>
        <w:textAlignment w:val="baseline"/>
        <w:rPr>
          <w:rFonts w:hint="eastAsia" w:ascii="仿宋_GB2312" w:hAnsi="仿宋_GB2312" w:eastAsia="仿宋_GB2312" w:cs="仿宋_GB2312"/>
          <w:color w:val="000000"/>
          <w:spacing w:val="-10"/>
          <w:sz w:val="28"/>
          <w:szCs w:val="28"/>
        </w:rPr>
      </w:pPr>
      <w:r>
        <w:rPr>
          <w:rFonts w:hint="eastAsia" w:ascii="仿宋_GB2312" w:hAnsi="仿宋_GB2312" w:eastAsia="仿宋_GB2312" w:cs="仿宋_GB2312"/>
          <w:color w:val="000000"/>
          <w:spacing w:val="-10"/>
          <w:sz w:val="28"/>
          <w:szCs w:val="28"/>
        </w:rPr>
        <w:t>石龙区人民政府安委会办公室</w:t>
      </w:r>
    </w:p>
    <w:p>
      <w:pPr>
        <w:pStyle w:val="3"/>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52" w:firstLineChars="200"/>
        <w:jc w:val="both"/>
        <w:textAlignment w:val="auto"/>
        <w:rPr>
          <w:rFonts w:hint="eastAsia" w:ascii="黑体" w:hAnsi="黑体" w:eastAsia="黑体" w:cs="黑体"/>
          <w:b/>
          <w:bCs/>
          <w:color w:val="434343"/>
          <w:kern w:val="36"/>
          <w:sz w:val="44"/>
          <w:szCs w:val="44"/>
          <w:lang w:eastAsia="zh-CN"/>
        </w:rPr>
      </w:pPr>
      <w:r>
        <w:rPr>
          <w:rFonts w:hint="eastAsia" w:ascii="仿宋_GB2312" w:hAnsi="仿宋_GB2312" w:eastAsia="仿宋_GB2312" w:cs="仿宋_GB2312"/>
          <w:color w:val="000000"/>
          <w:spacing w:val="-2"/>
          <w:sz w:val="28"/>
          <w:szCs w:val="28"/>
        </w:rPr>
        <w:t>石龙区应急管理局</w:t>
      </w:r>
      <w:r>
        <w:rPr>
          <w:rFonts w:ascii="宋体" w:hAnsi="宋体"/>
          <w:color w:val="000000"/>
          <w:spacing w:val="-2"/>
          <w:sz w:val="28"/>
          <w:szCs w:val="28"/>
        </w:rPr>
        <w:t xml:space="preserve">  </w:t>
      </w:r>
      <w:r>
        <w:rPr>
          <w:rFonts w:ascii="宋体" w:hAnsi="宋体"/>
          <w:color w:val="0D0D0D" w:themeColor="text1" w:themeTint="F2"/>
          <w:spacing w:val="-2"/>
          <w:sz w:val="32"/>
          <w:szCs w:val="32"/>
          <w14:textFill>
            <w14:solidFill>
              <w14:schemeClr w14:val="tx1">
                <w14:lumMod w14:val="95000"/>
                <w14:lumOff w14:val="5000"/>
              </w14:schemeClr>
            </w14:solidFill>
          </w14:textFill>
        </w:rPr>
        <w:t xml:space="preserve">    </w:t>
      </w:r>
      <w:r>
        <w:rPr>
          <w:rFonts w:hint="eastAsia"/>
          <w:color w:val="0D0D0D" w:themeColor="text1" w:themeTint="F2"/>
          <w:spacing w:val="-2"/>
          <w:sz w:val="32"/>
          <w:szCs w:val="32"/>
          <w:lang w:val="en-US" w:eastAsia="zh-CN"/>
          <w14:textFill>
            <w14:solidFill>
              <w14:schemeClr w14:val="tx1">
                <w14:lumMod w14:val="95000"/>
                <w14:lumOff w14:val="5000"/>
              </w14:schemeClr>
            </w14:solidFill>
          </w14:textFill>
        </w:rPr>
        <w:t xml:space="preserve">       </w:t>
      </w:r>
      <w:r>
        <w:rPr>
          <w:rFonts w:ascii="宋体" w:hAnsi="宋体"/>
          <w:color w:val="0D0D0D" w:themeColor="text1" w:themeTint="F2"/>
          <w:spacing w:val="-2"/>
          <w:sz w:val="32"/>
          <w:szCs w:val="32"/>
          <w14:textFill>
            <w14:solidFill>
              <w14:schemeClr w14:val="tx1">
                <w14:lumMod w14:val="95000"/>
                <w14:lumOff w14:val="5000"/>
              </w14:schemeClr>
            </w14:solidFill>
          </w14:textFill>
        </w:rPr>
        <w:t xml:space="preserve">     </w:t>
      </w:r>
      <w:r>
        <w:rPr>
          <w:rFonts w:ascii="仿宋_GB2312" w:hAnsi="仿宋_GB2312" w:eastAsia="仿宋_GB2312"/>
          <w:color w:val="0D0D0D" w:themeColor="text1" w:themeTint="F2"/>
          <w:sz w:val="32"/>
          <w:szCs w:val="32"/>
          <w14:textFill>
            <w14:solidFill>
              <w14:schemeClr w14:val="tx1">
                <w14:lumMod w14:val="95000"/>
                <w14:lumOff w14:val="5000"/>
              </w14:schemeClr>
            </w14:solidFill>
          </w14:textFill>
        </w:rPr>
        <w:t>20</w:t>
      </w:r>
      <w:r>
        <w:rPr>
          <w:rFonts w:hint="eastAsia" w:ascii="仿宋_GB2312" w:hAnsi="仿宋_GB2312" w:eastAsia="仿宋_GB2312"/>
          <w:color w:val="0D0D0D" w:themeColor="text1" w:themeTint="F2"/>
          <w:sz w:val="32"/>
          <w:szCs w:val="32"/>
          <w:lang w:val="en-US" w:eastAsia="zh-CN"/>
          <w14:textFill>
            <w14:solidFill>
              <w14:schemeClr w14:val="tx1">
                <w14:lumMod w14:val="95000"/>
                <w14:lumOff w14:val="5000"/>
              </w14:schemeClr>
            </w14:solidFill>
          </w14:textFill>
        </w:rPr>
        <w:t>20</w:t>
      </w:r>
      <w:r>
        <w:rPr>
          <w:rFonts w:hint="eastAsia" w:ascii="仿宋_GB2312" w:hAnsi="仿宋_GB2312" w:eastAsia="仿宋_GB2312"/>
          <w:color w:val="0D0D0D" w:themeColor="text1" w:themeTint="F2"/>
          <w:sz w:val="32"/>
          <w:szCs w:val="32"/>
          <w14:textFill>
            <w14:solidFill>
              <w14:schemeClr w14:val="tx1">
                <w14:lumMod w14:val="95000"/>
                <w14:lumOff w14:val="5000"/>
              </w14:schemeClr>
            </w14:solidFill>
          </w14:textFill>
        </w:rPr>
        <w:t>年</w:t>
      </w:r>
      <w:r>
        <w:rPr>
          <w:rFonts w:hint="eastAsia" w:ascii="仿宋_GB2312" w:hAnsi="仿宋_GB2312" w:eastAsia="仿宋_GB2312"/>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仿宋_GB2312" w:hAnsi="仿宋_GB2312" w:eastAsia="仿宋_GB2312"/>
          <w:color w:val="0D0D0D" w:themeColor="text1" w:themeTint="F2"/>
          <w:sz w:val="32"/>
          <w:szCs w:val="32"/>
          <w14:textFill>
            <w14:solidFill>
              <w14:schemeClr w14:val="tx1">
                <w14:lumMod w14:val="95000"/>
                <w14:lumOff w14:val="5000"/>
              </w14:schemeClr>
            </w14:solidFill>
          </w14:textFill>
        </w:rPr>
        <w:t>月</w:t>
      </w:r>
      <w:r>
        <w:rPr>
          <w:rFonts w:hint="eastAsia" w:ascii="仿宋_GB2312" w:hAnsi="仿宋_GB2312" w:eastAsia="仿宋_GB2312"/>
          <w:color w:val="0D0D0D" w:themeColor="text1" w:themeTint="F2"/>
          <w:sz w:val="32"/>
          <w:szCs w:val="32"/>
          <w:lang w:val="en-US" w:eastAsia="zh-CN"/>
          <w14:textFill>
            <w14:solidFill>
              <w14:schemeClr w14:val="tx1">
                <w14:lumMod w14:val="95000"/>
                <w14:lumOff w14:val="5000"/>
              </w14:schemeClr>
            </w14:solidFill>
          </w14:textFill>
        </w:rPr>
        <w:t>5</w:t>
      </w:r>
      <w:r>
        <w:rPr>
          <w:rFonts w:hint="eastAsia" w:ascii="仿宋_GB2312" w:hAnsi="仿宋_GB2312" w:eastAsia="仿宋_GB2312"/>
          <w:color w:val="0D0D0D" w:themeColor="text1" w:themeTint="F2"/>
          <w:sz w:val="32"/>
          <w:szCs w:val="32"/>
          <w14:textFill>
            <w14:solidFill>
              <w14:schemeClr w14:val="tx1">
                <w14:lumMod w14:val="95000"/>
                <w14:lumOff w14:val="5000"/>
              </w14:schemeClr>
            </w14:solidFill>
          </w14:textFill>
        </w:rPr>
        <w:t>日</w:t>
      </w:r>
      <w:r>
        <w:rPr>
          <w:rFonts w:ascii="方正小标宋简体" w:hAnsi="宋体" w:eastAsia="方正小标宋简体" w:cs="宋体"/>
          <w:b/>
          <w:bCs/>
          <w:color w:val="FF0000"/>
          <w:kern w:val="0"/>
          <w:sz w:val="44"/>
          <w:szCs w:val="44"/>
        </w:rPr>
        <w:t>_____________________________________</w:t>
      </w:r>
      <w:r>
        <w:rPr>
          <w:rFonts w:hint="eastAsia" w:ascii="方正小标宋简体" w:hAnsi="方正小标宋简体" w:eastAsia="方正小标宋简体" w:cs="方正小标宋简体"/>
          <w:b/>
          <w:bCs/>
          <w:color w:val="FF0000"/>
          <w:kern w:val="0"/>
          <w:sz w:val="44"/>
          <w:szCs w:val="44"/>
        </w:rPr>
        <w:t>______</w:t>
      </w:r>
    </w:p>
    <w:p>
      <w:pPr>
        <w:jc w:val="center"/>
        <w:rPr>
          <w:rFonts w:hint="eastAsia" w:ascii="仿宋_GB2312" w:hAnsi="仿宋_GB2312" w:eastAsia="仿宋_GB2312" w:cs="仿宋_GB2312"/>
          <w:b w:val="0"/>
          <w:bCs w:val="0"/>
          <w:color w:val="0D0D0D" w:themeColor="text1" w:themeTint="F2"/>
          <w:kern w:val="36"/>
          <w:sz w:val="32"/>
          <w:szCs w:val="32"/>
          <w14:textFill>
            <w14:solidFill>
              <w14:schemeClr w14:val="tx1">
                <w14:lumMod w14:val="95000"/>
                <w14:lumOff w14:val="5000"/>
              </w14:schemeClr>
            </w14:solidFill>
          </w14:textFill>
        </w:rPr>
      </w:pPr>
      <w:r>
        <w:rPr>
          <w:rFonts w:hint="eastAsia" w:ascii="黑体" w:hAnsi="黑体" w:eastAsia="黑体" w:cs="黑体"/>
          <w:b/>
          <w:bCs/>
          <w:color w:val="434343"/>
          <w:kern w:val="36"/>
          <w:sz w:val="44"/>
          <w:szCs w:val="44"/>
        </w:rPr>
        <w:t>区</w:t>
      </w:r>
      <w:r>
        <w:rPr>
          <w:rFonts w:hint="eastAsia" w:ascii="黑体" w:hAnsi="黑体" w:eastAsia="黑体" w:cs="黑体"/>
          <w:b/>
          <w:bCs/>
          <w:color w:val="434343"/>
          <w:kern w:val="36"/>
          <w:sz w:val="44"/>
          <w:szCs w:val="44"/>
          <w:lang w:eastAsia="zh-CN"/>
        </w:rPr>
        <w:t>应急管理</w:t>
      </w:r>
      <w:r>
        <w:rPr>
          <w:rFonts w:hint="eastAsia" w:ascii="黑体" w:hAnsi="黑体" w:eastAsia="黑体" w:cs="黑体"/>
          <w:b/>
          <w:bCs/>
          <w:color w:val="434343"/>
          <w:kern w:val="36"/>
          <w:sz w:val="44"/>
          <w:szCs w:val="44"/>
        </w:rPr>
        <w:t>局</w:t>
      </w:r>
      <w:r>
        <w:rPr>
          <w:rFonts w:hint="eastAsia" w:ascii="黑体" w:hAnsi="黑体" w:eastAsia="黑体" w:cs="黑体"/>
          <w:b/>
          <w:bCs/>
          <w:color w:val="434343"/>
          <w:kern w:val="36"/>
          <w:sz w:val="44"/>
          <w:szCs w:val="44"/>
          <w:lang w:eastAsia="zh-CN"/>
        </w:rPr>
        <w:t>疫情期间严把企业复工复产验收关</w:t>
      </w:r>
    </w:p>
    <w:p>
      <w:pPr>
        <w:ind w:firstLine="640" w:firstLineChars="200"/>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“疫情期间保障职工健康安全事大，复工复产工作事小”，该公司总经理栗万明在验收时说。</w:t>
      </w: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日，</w:t>
      </w:r>
      <w:r>
        <w:rPr>
          <w:rFonts w:hint="eastAsia" w:ascii="仿宋_GB2312" w:hAnsi="仿宋_GB2312" w:eastAsia="仿宋_GB2312" w:cs="仿宋_GB2312"/>
          <w:b w:val="0"/>
          <w:i w:val="0"/>
          <w:caps w:val="0"/>
          <w:color w:val="auto"/>
          <w:spacing w:val="0"/>
          <w:sz w:val="32"/>
          <w:szCs w:val="32"/>
          <w:shd w:val="clear" w:fill="FFFFFF"/>
          <w:lang w:eastAsia="zh-CN"/>
        </w:rPr>
        <w:t>由</w:t>
      </w:r>
      <w:r>
        <w:rPr>
          <w:rFonts w:hint="eastAsia" w:ascii="仿宋_GB2312" w:hAnsi="仿宋_GB2312" w:eastAsia="仿宋_GB2312" w:cs="仿宋_GB2312"/>
          <w:b w:val="0"/>
          <w:i w:val="0"/>
          <w:caps w:val="0"/>
          <w:color w:val="auto"/>
          <w:spacing w:val="0"/>
          <w:sz w:val="32"/>
          <w:szCs w:val="32"/>
          <w:shd w:val="clear" w:fill="FFFFFF"/>
        </w:rPr>
        <w:t>石龙区</w:t>
      </w:r>
      <w:r>
        <w:rPr>
          <w:rFonts w:hint="eastAsia" w:ascii="仿宋_GB2312" w:hAnsi="仿宋_GB2312" w:eastAsia="仿宋_GB2312" w:cs="仿宋_GB2312"/>
          <w:b w:val="0"/>
          <w:i w:val="0"/>
          <w:caps w:val="0"/>
          <w:color w:val="auto"/>
          <w:spacing w:val="0"/>
          <w:sz w:val="32"/>
          <w:szCs w:val="32"/>
          <w:shd w:val="clear" w:fill="FFFFFF"/>
          <w:lang w:eastAsia="zh-CN"/>
        </w:rPr>
        <w:t>安委会办公室牵头组织区应急管理局、区公安局、区国土局、区卫建委、属地办事处，并聘请平煤四位专家，由市应急管理局二级调研员许占锡带队对嵩阳盛源煤业有限公司进行现场验收。</w:t>
      </w:r>
    </w:p>
    <w:p>
      <w:pPr>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drawing>
          <wp:inline distT="0" distB="0" distL="114300" distR="114300">
            <wp:extent cx="6126480" cy="3848100"/>
            <wp:effectExtent l="0" t="0" r="7620" b="0"/>
            <wp:docPr id="2" name="图片 2" descr="微信图片_202003051807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305180700_副本"/>
                    <pic:cNvPicPr>
                      <a:picLocks noChangeAspect="1"/>
                    </pic:cNvPicPr>
                  </pic:nvPicPr>
                  <pic:blipFill>
                    <a:blip r:embed="rId4"/>
                    <a:stretch>
                      <a:fillRect/>
                    </a:stretch>
                  </pic:blipFill>
                  <pic:spPr>
                    <a:xfrm>
                      <a:off x="0" y="0"/>
                      <a:ext cx="6126480" cy="3848100"/>
                    </a:xfrm>
                    <a:prstGeom prst="rect">
                      <a:avLst/>
                    </a:prstGeom>
                  </pic:spPr>
                </pic:pic>
              </a:graphicData>
            </a:graphic>
          </wp:inline>
        </w:drawing>
      </w:r>
      <w:r>
        <w:rPr>
          <w:rFonts w:hint="eastAsia" w:ascii="仿宋_GB2312" w:hAnsi="仿宋_GB2312" w:eastAsia="仿宋_GB2312" w:cs="仿宋_GB2312"/>
          <w:i w:val="0"/>
          <w:caps w:val="0"/>
          <w:color w:val="auto"/>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textAlignment w:val="top"/>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eastAsia="zh-CN"/>
        </w:rPr>
        <w:t>验收组在听取汇报后，</w:t>
      </w:r>
      <w:r>
        <w:rPr>
          <w:rFonts w:hint="eastAsia" w:ascii="仿宋_GB2312" w:hAnsi="仿宋_GB2312" w:eastAsia="仿宋_GB2312" w:cs="仿宋_GB2312"/>
          <w:i w:val="0"/>
          <w:caps w:val="0"/>
          <w:color w:val="auto"/>
          <w:spacing w:val="0"/>
          <w:sz w:val="32"/>
          <w:szCs w:val="32"/>
          <w:shd w:val="clear" w:fill="FFFFFF"/>
        </w:rPr>
        <w:t>实地查看</w:t>
      </w:r>
      <w:r>
        <w:rPr>
          <w:rFonts w:hint="eastAsia" w:ascii="仿宋_GB2312" w:hAnsi="仿宋_GB2312" w:eastAsia="仿宋_GB2312" w:cs="仿宋_GB2312"/>
          <w:i w:val="0"/>
          <w:caps w:val="0"/>
          <w:color w:val="auto"/>
          <w:spacing w:val="0"/>
          <w:sz w:val="32"/>
          <w:szCs w:val="32"/>
          <w:shd w:val="clear" w:fill="FFFFFF"/>
          <w:lang w:eastAsia="zh-CN"/>
        </w:rPr>
        <w:t>复工复产材料及</w:t>
      </w:r>
      <w:r>
        <w:rPr>
          <w:rFonts w:hint="eastAsia" w:ascii="仿宋_GB2312" w:hAnsi="仿宋_GB2312" w:eastAsia="仿宋_GB2312" w:cs="仿宋_GB2312"/>
          <w:i w:val="0"/>
          <w:caps w:val="0"/>
          <w:color w:val="auto"/>
          <w:spacing w:val="0"/>
          <w:sz w:val="32"/>
          <w:szCs w:val="32"/>
          <w:shd w:val="clear" w:fill="FFFFFF"/>
        </w:rPr>
        <w:t>各项疫情防控措施</w:t>
      </w:r>
      <w:r>
        <w:rPr>
          <w:rFonts w:hint="eastAsia" w:ascii="仿宋_GB2312" w:hAnsi="仿宋_GB2312" w:eastAsia="仿宋_GB2312" w:cs="仿宋_GB2312"/>
          <w:i w:val="0"/>
          <w:caps w:val="0"/>
          <w:color w:val="auto"/>
          <w:spacing w:val="0"/>
          <w:sz w:val="32"/>
          <w:szCs w:val="32"/>
          <w:shd w:val="clear" w:fill="FFFFFF"/>
          <w:lang w:eastAsia="zh-CN"/>
        </w:rPr>
        <w:t>落实、物资储备</w:t>
      </w:r>
      <w:r>
        <w:rPr>
          <w:rFonts w:hint="eastAsia" w:ascii="仿宋_GB2312" w:hAnsi="仿宋_GB2312" w:eastAsia="仿宋_GB2312" w:cs="仿宋_GB2312"/>
          <w:i w:val="0"/>
          <w:caps w:val="0"/>
          <w:color w:val="auto"/>
          <w:spacing w:val="0"/>
          <w:sz w:val="32"/>
          <w:szCs w:val="32"/>
          <w:shd w:val="clear" w:fill="FFFFFF"/>
        </w:rPr>
        <w:t>，详细了解返岗员工人数、</w:t>
      </w:r>
      <w:r>
        <w:rPr>
          <w:rFonts w:hint="eastAsia" w:ascii="仿宋_GB2312" w:hAnsi="仿宋_GB2312" w:eastAsia="仿宋_GB2312" w:cs="仿宋_GB2312"/>
          <w:i w:val="0"/>
          <w:caps w:val="0"/>
          <w:color w:val="auto"/>
          <w:spacing w:val="0"/>
          <w:sz w:val="32"/>
          <w:szCs w:val="32"/>
          <w:shd w:val="clear" w:fill="FFFFFF"/>
          <w:lang w:eastAsia="zh-CN"/>
        </w:rPr>
        <w:t>健康档案、生活</w:t>
      </w:r>
      <w:r>
        <w:rPr>
          <w:rFonts w:hint="eastAsia" w:ascii="仿宋_GB2312" w:hAnsi="仿宋_GB2312" w:eastAsia="仿宋_GB2312" w:cs="仿宋_GB2312"/>
          <w:i w:val="0"/>
          <w:caps w:val="0"/>
          <w:color w:val="auto"/>
          <w:spacing w:val="0"/>
          <w:sz w:val="32"/>
          <w:szCs w:val="32"/>
          <w:shd w:val="clear" w:fill="FFFFFF"/>
        </w:rPr>
        <w:t>等情况</w:t>
      </w:r>
      <w:r>
        <w:rPr>
          <w:rFonts w:hint="eastAsia" w:ascii="仿宋_GB2312" w:hAnsi="仿宋_GB2312" w:eastAsia="仿宋_GB2312" w:cs="仿宋_GB2312"/>
          <w:i w:val="0"/>
          <w:caps w:val="0"/>
          <w:color w:val="auto"/>
          <w:spacing w:val="0"/>
          <w:sz w:val="32"/>
          <w:szCs w:val="32"/>
          <w:shd w:val="clear" w:fill="FFFFFF"/>
          <w:lang w:eastAsia="zh-CN"/>
        </w:rPr>
        <w:t>；在</w:t>
      </w:r>
      <w:r>
        <w:rPr>
          <w:rFonts w:hint="eastAsia" w:ascii="仿宋_GB2312" w:hAnsi="仿宋_GB2312" w:eastAsia="仿宋_GB2312" w:cs="仿宋_GB2312"/>
          <w:i w:val="0"/>
          <w:caps w:val="0"/>
          <w:color w:val="333333"/>
          <w:spacing w:val="0"/>
          <w:sz w:val="32"/>
          <w:szCs w:val="32"/>
          <w:shd w:val="clear" w:fill="FFFFFF"/>
          <w:lang w:eastAsia="zh-CN"/>
        </w:rPr>
        <w:t>盛源煤业有限公司调度中心，</w:t>
      </w:r>
      <w:r>
        <w:rPr>
          <w:rFonts w:hint="eastAsia" w:ascii="仿宋_GB2312" w:hAnsi="仿宋_GB2312" w:eastAsia="仿宋_GB2312" w:cs="仿宋_GB2312"/>
          <w:i w:val="0"/>
          <w:caps w:val="0"/>
          <w:color w:val="000000"/>
          <w:spacing w:val="0"/>
          <w:sz w:val="32"/>
          <w:szCs w:val="32"/>
        </w:rPr>
        <w:t>查看井下瓦斯检测数值、人员定位及带班矿长井下行走轨迹。随后，来到矿灯房、</w:t>
      </w:r>
      <w:r>
        <w:rPr>
          <w:rFonts w:hint="eastAsia" w:ascii="仿宋_GB2312" w:hAnsi="仿宋_GB2312" w:eastAsia="仿宋_GB2312" w:cs="仿宋_GB2312"/>
          <w:i w:val="0"/>
          <w:caps w:val="0"/>
          <w:color w:val="000000"/>
          <w:spacing w:val="0"/>
          <w:sz w:val="32"/>
          <w:szCs w:val="32"/>
          <w:lang w:eastAsia="zh-CN"/>
        </w:rPr>
        <w:t>变电所、副井井口</w:t>
      </w:r>
      <w:r>
        <w:rPr>
          <w:rFonts w:hint="eastAsia" w:ascii="仿宋_GB2312" w:hAnsi="仿宋_GB2312" w:eastAsia="仿宋_GB2312" w:cs="仿宋_GB2312"/>
          <w:i w:val="0"/>
          <w:caps w:val="0"/>
          <w:color w:val="000000"/>
          <w:spacing w:val="0"/>
          <w:sz w:val="32"/>
          <w:szCs w:val="32"/>
        </w:rPr>
        <w:t>查看矿灯发放和入井检身登记簿，了解</w:t>
      </w:r>
      <w:r>
        <w:rPr>
          <w:rFonts w:hint="eastAsia" w:ascii="仿宋_GB2312" w:hAnsi="仿宋_GB2312" w:eastAsia="仿宋_GB2312" w:cs="仿宋_GB2312"/>
          <w:i w:val="0"/>
          <w:caps w:val="0"/>
          <w:color w:val="000000"/>
          <w:spacing w:val="0"/>
          <w:sz w:val="32"/>
          <w:szCs w:val="32"/>
          <w:lang w:eastAsia="zh-CN"/>
        </w:rPr>
        <w:t>矿</w:t>
      </w:r>
      <w:r>
        <w:rPr>
          <w:rFonts w:hint="eastAsia" w:ascii="仿宋_GB2312" w:hAnsi="仿宋_GB2312" w:eastAsia="仿宋_GB2312" w:cs="仿宋_GB2312"/>
          <w:i w:val="0"/>
          <w:caps w:val="0"/>
          <w:color w:val="000000"/>
          <w:spacing w:val="0"/>
          <w:sz w:val="32"/>
          <w:szCs w:val="32"/>
        </w:rPr>
        <w:t>井人</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车安全</w:t>
      </w:r>
      <w:r>
        <w:rPr>
          <w:rFonts w:hint="eastAsia" w:ascii="仿宋_GB2312" w:hAnsi="仿宋_GB2312" w:eastAsia="仿宋_GB2312" w:cs="仿宋_GB2312"/>
          <w:i w:val="0"/>
          <w:caps w:val="0"/>
          <w:color w:val="000000"/>
          <w:spacing w:val="0"/>
          <w:sz w:val="32"/>
          <w:szCs w:val="32"/>
          <w:lang w:eastAsia="zh-CN"/>
        </w:rPr>
        <w:t>提升</w:t>
      </w:r>
      <w:r>
        <w:rPr>
          <w:rFonts w:hint="eastAsia" w:ascii="仿宋_GB2312" w:hAnsi="仿宋_GB2312" w:eastAsia="仿宋_GB2312" w:cs="仿宋_GB2312"/>
          <w:i w:val="0"/>
          <w:caps w:val="0"/>
          <w:color w:val="000000"/>
          <w:spacing w:val="0"/>
          <w:sz w:val="32"/>
          <w:szCs w:val="32"/>
        </w:rPr>
        <w:t>运行情况</w:t>
      </w:r>
      <w:r>
        <w:rPr>
          <w:rFonts w:hint="eastAsia" w:ascii="仿宋_GB2312" w:hAnsi="仿宋_GB2312" w:eastAsia="仿宋_GB2312" w:cs="仿宋_GB2312"/>
          <w:i w:val="0"/>
          <w:caps w:val="0"/>
          <w:color w:val="000000"/>
          <w:spacing w:val="0"/>
          <w:sz w:val="32"/>
          <w:szCs w:val="32"/>
          <w:lang w:eastAsia="zh-CN"/>
        </w:rPr>
        <w:t>；聘请的四位专家对井下各大系统全面进行“把脉问诊”。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firstLineChars="200"/>
        <w:textAlignment w:val="top"/>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b w:val="0"/>
          <w:i w:val="0"/>
          <w:caps w:val="0"/>
          <w:color w:val="auto"/>
          <w:spacing w:val="0"/>
          <w:sz w:val="32"/>
          <w:szCs w:val="32"/>
          <w:shd w:val="clear" w:fill="FFFFFF"/>
          <w:lang w:eastAsia="zh-CN"/>
        </w:rPr>
        <w:t>验收组强调，</w:t>
      </w:r>
      <w:r>
        <w:rPr>
          <w:rFonts w:hint="eastAsia" w:ascii="仿宋_GB2312" w:hAnsi="仿宋_GB2312" w:eastAsia="仿宋_GB2312" w:cs="仿宋_GB2312"/>
          <w:i w:val="0"/>
          <w:caps w:val="0"/>
          <w:color w:val="auto"/>
          <w:spacing w:val="0"/>
          <w:sz w:val="32"/>
          <w:szCs w:val="32"/>
          <w:shd w:val="clear" w:fill="FFFFFF"/>
        </w:rPr>
        <w:t>严格按照省、</w:t>
      </w:r>
      <w:r>
        <w:rPr>
          <w:rFonts w:hint="eastAsia" w:ascii="仿宋_GB2312" w:hAnsi="仿宋_GB2312" w:eastAsia="仿宋_GB2312" w:cs="仿宋_GB2312"/>
          <w:i w:val="0"/>
          <w:caps w:val="0"/>
          <w:color w:val="auto"/>
          <w:spacing w:val="0"/>
          <w:sz w:val="32"/>
          <w:szCs w:val="32"/>
          <w:shd w:val="clear" w:fill="FFFFFF"/>
          <w:lang w:eastAsia="zh-CN"/>
        </w:rPr>
        <w:t>市、区</w:t>
      </w:r>
      <w:r>
        <w:rPr>
          <w:rFonts w:hint="eastAsia" w:ascii="仿宋_GB2312" w:hAnsi="仿宋_GB2312" w:eastAsia="仿宋_GB2312" w:cs="仿宋_GB2312"/>
          <w:i w:val="0"/>
          <w:caps w:val="0"/>
          <w:color w:val="auto"/>
          <w:spacing w:val="0"/>
          <w:sz w:val="32"/>
          <w:szCs w:val="32"/>
          <w:shd w:val="clear" w:fill="FFFFFF"/>
        </w:rPr>
        <w:t>政府关于复工复产工作的安排部署，在落实落细疫情防控各项措施的前提下，稳妥有序推进企业复工复产。</w:t>
      </w:r>
      <w:r>
        <w:rPr>
          <w:rFonts w:hint="eastAsia" w:ascii="仿宋_GB2312" w:hAnsi="仿宋_GB2312" w:eastAsia="仿宋_GB2312" w:cs="仿宋_GB2312"/>
          <w:i w:val="0"/>
          <w:caps w:val="0"/>
          <w:color w:val="auto"/>
          <w:spacing w:val="0"/>
          <w:sz w:val="32"/>
          <w:szCs w:val="32"/>
          <w:shd w:val="clear" w:fill="FFFFFF"/>
          <w:lang w:eastAsia="zh-CN"/>
        </w:rPr>
        <w:t>在</w:t>
      </w:r>
      <w:bookmarkStart w:id="0" w:name="_GoBack"/>
      <w:bookmarkEnd w:id="0"/>
      <w:r>
        <w:rPr>
          <w:rFonts w:hint="eastAsia" w:ascii="仿宋_GB2312" w:hAnsi="仿宋_GB2312" w:eastAsia="仿宋_GB2312" w:cs="仿宋_GB2312"/>
          <w:b w:val="0"/>
          <w:i w:val="0"/>
          <w:caps w:val="0"/>
          <w:color w:val="auto"/>
          <w:spacing w:val="0"/>
          <w:sz w:val="32"/>
          <w:szCs w:val="32"/>
          <w:shd w:val="clear" w:fill="FFFFFF"/>
          <w:lang w:eastAsia="zh-CN"/>
        </w:rPr>
        <w:t>安全生产的同时，要大幅提高疫情防控重点物资的储备，确保返岗职工安全健康的生活环境，严格做好职工吃、住、行及生产场所等环节防疫工作。</w:t>
      </w:r>
      <w:r>
        <w:rPr>
          <w:rFonts w:hint="eastAsia" w:ascii="仿宋_GB2312" w:hAnsi="仿宋_GB2312" w:eastAsia="仿宋_GB2312" w:cs="仿宋_GB2312"/>
          <w:i w:val="0"/>
          <w:caps w:val="0"/>
          <w:color w:val="auto"/>
          <w:spacing w:val="0"/>
          <w:sz w:val="32"/>
          <w:szCs w:val="32"/>
          <w:shd w:val="clear" w:fill="FFFFFF"/>
          <w:lang w:eastAsia="zh-CN"/>
        </w:rPr>
        <w:t>区应急管理局</w:t>
      </w:r>
      <w:r>
        <w:rPr>
          <w:rFonts w:hint="eastAsia" w:ascii="仿宋_GB2312" w:hAnsi="仿宋_GB2312" w:eastAsia="仿宋_GB2312" w:cs="仿宋_GB2312"/>
          <w:i w:val="0"/>
          <w:caps w:val="0"/>
          <w:color w:val="auto"/>
          <w:spacing w:val="0"/>
          <w:sz w:val="32"/>
          <w:szCs w:val="32"/>
          <w:shd w:val="clear" w:fill="FFFFFF"/>
        </w:rPr>
        <w:t>要在督导企业落实主体责任的同时，千方百计帮助企业解决好复工复产中遇到的困难和问题，有力有序推动企业达产达效</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确保疫情防控和经济社会发展取得双胜利。</w:t>
      </w:r>
      <w:r>
        <w:rPr>
          <w:rFonts w:hint="eastAsia" w:ascii="仿宋_GB2312" w:hAnsi="仿宋_GB2312" w:eastAsia="仿宋_GB2312" w:cs="仿宋_GB2312"/>
          <w:i w:val="0"/>
          <w:caps w:val="0"/>
          <w:color w:val="auto"/>
          <w:spacing w:val="0"/>
          <w:sz w:val="32"/>
          <w:szCs w:val="32"/>
          <w:shd w:val="clear" w:fill="FFFFFF"/>
          <w:lang w:eastAsia="zh-CN"/>
        </w:rPr>
        <w:t>通讯员（徐军涛）</w:t>
      </w:r>
    </w:p>
    <w:p>
      <w:pPr>
        <w:rPr>
          <w:rFonts w:hint="default" w:ascii="仿宋_GB2312" w:hAnsi="仿宋_GB2312" w:eastAsia="仿宋_GB2312" w:cs="仿宋_GB2312"/>
          <w:b w:val="0"/>
          <w:i w:val="0"/>
          <w:caps w:val="0"/>
          <w:color w:val="333333"/>
          <w:spacing w:val="0"/>
          <w:sz w:val="32"/>
          <w:szCs w:val="32"/>
          <w:shd w:val="clear" w:fill="FFFFFF"/>
          <w:lang w:val="en-US" w:eastAsia="zh-CN"/>
        </w:rPr>
      </w:pPr>
    </w:p>
    <w:sectPr>
      <w:pgSz w:w="11906" w:h="16838"/>
      <w:pgMar w:top="1100" w:right="1123" w:bottom="1100" w:left="11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06063"/>
    <w:rsid w:val="068410BB"/>
    <w:rsid w:val="18190272"/>
    <w:rsid w:val="47706063"/>
    <w:rsid w:val="48B14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正文首行缩进1"/>
    <w:basedOn w:val="2"/>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2020-03-05T08:32:00Z</dcterms:created>
  <dc:creator>Administrator</dc:creator>
  <cp:lastModifiedBy>Administrator</cp:lastModifiedBy>
  <dcterms:modified xsi:type="dcterms:W3CDTF">2020-03-06T01:30:55Z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