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2" w:rsidRDefault="00317911" w:rsidP="00287D02">
      <w:pPr>
        <w:adjustRightInd/>
        <w:snapToGrid/>
        <w:spacing w:before="420" w:after="510" w:line="420" w:lineRule="exact"/>
        <w:jc w:val="center"/>
        <w:outlineLvl w:val="0"/>
        <w:rPr>
          <w:rFonts w:ascii="Arial" w:eastAsia="宋体" w:hAnsi="Arial" w:cs="Arial" w:hint="eastAsia"/>
          <w:b/>
          <w:color w:val="333333"/>
          <w:kern w:val="36"/>
          <w:sz w:val="44"/>
          <w:szCs w:val="44"/>
        </w:rPr>
      </w:pPr>
      <w:r w:rsidRPr="00287D02">
        <w:rPr>
          <w:rFonts w:ascii="Arial" w:eastAsia="宋体" w:hAnsi="Arial" w:cs="Arial" w:hint="eastAsia"/>
          <w:b/>
          <w:color w:val="333333"/>
          <w:kern w:val="36"/>
          <w:sz w:val="44"/>
          <w:szCs w:val="44"/>
        </w:rPr>
        <w:t>石龙区</w:t>
      </w:r>
      <w:r w:rsidRPr="00317911">
        <w:rPr>
          <w:rFonts w:ascii="Arial" w:eastAsia="宋体" w:hAnsi="Arial" w:cs="Arial"/>
          <w:b/>
          <w:color w:val="333333"/>
          <w:kern w:val="36"/>
          <w:sz w:val="44"/>
          <w:szCs w:val="44"/>
        </w:rPr>
        <w:t>政府主要领导带队</w:t>
      </w:r>
    </w:p>
    <w:p w:rsidR="00317911" w:rsidRPr="00287D02" w:rsidRDefault="00317911" w:rsidP="00287D02">
      <w:pPr>
        <w:adjustRightInd/>
        <w:snapToGrid/>
        <w:spacing w:before="420" w:after="510" w:line="420" w:lineRule="exact"/>
        <w:jc w:val="center"/>
        <w:outlineLvl w:val="0"/>
        <w:rPr>
          <w:rFonts w:ascii="Arial" w:eastAsia="宋体" w:hAnsi="Arial" w:cs="Arial" w:hint="eastAsia"/>
          <w:b/>
          <w:color w:val="333333"/>
          <w:kern w:val="36"/>
          <w:sz w:val="44"/>
          <w:szCs w:val="44"/>
        </w:rPr>
      </w:pPr>
      <w:r w:rsidRPr="00317911">
        <w:rPr>
          <w:rFonts w:ascii="Arial" w:eastAsia="宋体" w:hAnsi="Arial" w:cs="Arial"/>
          <w:b/>
          <w:color w:val="333333"/>
          <w:kern w:val="36"/>
          <w:sz w:val="44"/>
          <w:szCs w:val="44"/>
        </w:rPr>
        <w:t>督导检查汽车站疫情防控工作</w:t>
      </w:r>
    </w:p>
    <w:p w:rsidR="00317911" w:rsidRDefault="00317911" w:rsidP="00317911">
      <w:pPr>
        <w:adjustRightInd/>
        <w:snapToGrid/>
        <w:spacing w:before="420" w:after="510" w:line="660" w:lineRule="atLeast"/>
        <w:ind w:firstLineChars="200" w:firstLine="656"/>
        <w:outlineLvl w:val="0"/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</w:pP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1月11日，</w:t>
      </w: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石龙</w:t>
      </w: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区区长</w:t>
      </w: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甘栓柱、区委副书记李博</w:t>
      </w: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带领区</w:t>
      </w: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建设交通局、督查</w:t>
      </w: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局等部门深入汽车站督导检查疫情防控工作。</w:t>
      </w:r>
    </w:p>
    <w:p w:rsidR="004B0A4F" w:rsidRDefault="00317911" w:rsidP="004B0A4F">
      <w:pPr>
        <w:adjustRightInd/>
        <w:snapToGrid/>
        <w:spacing w:before="420" w:after="510" w:line="660" w:lineRule="atLeast"/>
        <w:ind w:firstLineChars="200" w:firstLine="656"/>
        <w:outlineLvl w:val="0"/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</w:pP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在汽车站，</w:t>
      </w: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甘栓柱</w:t>
      </w: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一行详细了解乘客“健康码”的核查、进出站体温测量、进出站信息登记等疫情防控各项措施的落实情况，并强调，要把疫情防控作为当前最重要的工作，加强领导、精心组织、迅速行动，严密控制人员流动，积极疏导进出站旅客，做好宣传、解释和引导工作</w:t>
      </w: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，</w:t>
      </w:r>
      <w:r w:rsidRPr="00317911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确保疫情防控工作抓实抓细。</w:t>
      </w:r>
    </w:p>
    <w:p w:rsidR="004358AB" w:rsidRDefault="004B0A4F" w:rsidP="004B0A4F">
      <w:pPr>
        <w:adjustRightInd/>
        <w:snapToGrid/>
        <w:spacing w:before="420" w:after="510" w:line="660" w:lineRule="atLeast"/>
        <w:ind w:firstLineChars="200" w:firstLine="656"/>
        <w:outlineLvl w:val="0"/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甘栓柱</w:t>
      </w:r>
      <w:r w:rsidRPr="004B0A4F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一行在出站口、入站口等重点点位，详细了解一线工作人员值班调</w:t>
      </w:r>
      <w:r w:rsidR="008D146F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配、防控工作流程、外来人员管控及人员流动等情况，他指出，要与区</w:t>
      </w:r>
      <w:r w:rsidR="008D146F"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里</w:t>
      </w:r>
      <w:r w:rsidRPr="004B0A4F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相关部门建立联动工作机制，及时掌握疫情最新动态，确保高效有序应对突发情况，为及时防控疫情赢得时间。进一步优化旅客进出站路线，增加候车区域保洁消毒频次，确保有效消杀防控</w:t>
      </w:r>
      <w:r w:rsidR="008E5259"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，</w:t>
      </w:r>
      <w:r w:rsidRPr="004B0A4F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lastRenderedPageBreak/>
        <w:t>并叮嘱值守一线的工作人员要做好保暖和防疫工作，确保自身安全。</w:t>
      </w:r>
    </w:p>
    <w:p w:rsidR="007F60E7" w:rsidRPr="004B0A4F" w:rsidRDefault="007F60E7" w:rsidP="004B0A4F">
      <w:pPr>
        <w:adjustRightInd/>
        <w:snapToGrid/>
        <w:spacing w:before="420" w:after="510" w:line="660" w:lineRule="atLeast"/>
        <w:ind w:firstLineChars="200" w:firstLine="656"/>
        <w:outlineLvl w:val="0"/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pacing w:val="8"/>
          <w:sz w:val="32"/>
          <w:szCs w:val="32"/>
          <w:shd w:val="clear" w:color="auto" w:fill="FFFFFF"/>
        </w:rPr>
        <w:t>甘栓柱</w:t>
      </w:r>
      <w:r w:rsidRPr="007F60E7">
        <w:rPr>
          <w:rFonts w:asciiTheme="minorEastAsia" w:eastAsiaTheme="minorEastAsia" w:hAnsiTheme="minorEastAsia" w:cs="Arial"/>
          <w:color w:val="333333"/>
          <w:spacing w:val="8"/>
          <w:sz w:val="32"/>
          <w:szCs w:val="32"/>
          <w:shd w:val="clear" w:color="auto" w:fill="FFFFFF"/>
        </w:rPr>
        <w:t>强调，2021年春运即将开始，疫情防控工作面临又一严峻考验。“两站一场”是防疫工作前线，是全区防疫工作的重要防线，务必高度重视，严格落实省、市、区委工作部署，将防疫措施落实到位，守好“大门”。同时，要加强应急物资保障，做好一线工作人员防护工作，确保万无一失。各有关单位要继续保持昂扬向上的精神状态，以更严作风、更实举措落实常态化防控工作部署，确保春运运输安全和防疫安全。要科学预判春运规模，备足执勤备勤力量，提前做好应急预案和人员培训，第一时间化解突发应急事件。要及时更新现场测温、验证设施，提升网络覆盖范围和信号强度，保证人员快速有序出站。</w:t>
      </w:r>
    </w:p>
    <w:sectPr w:rsidR="007F60E7" w:rsidRPr="004B0A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87D02"/>
    <w:rsid w:val="00317911"/>
    <w:rsid w:val="00323B43"/>
    <w:rsid w:val="003D37D8"/>
    <w:rsid w:val="00426133"/>
    <w:rsid w:val="004358AB"/>
    <w:rsid w:val="004B0A4F"/>
    <w:rsid w:val="005B7784"/>
    <w:rsid w:val="00635EF0"/>
    <w:rsid w:val="007F60E7"/>
    <w:rsid w:val="008B7726"/>
    <w:rsid w:val="008D146F"/>
    <w:rsid w:val="008E52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1791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791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21</cp:revision>
  <dcterms:created xsi:type="dcterms:W3CDTF">2008-09-11T17:20:00Z</dcterms:created>
  <dcterms:modified xsi:type="dcterms:W3CDTF">2021-01-15T02:44:00Z</dcterms:modified>
</cp:coreProperties>
</file>