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2021年度平顶山市石龙区</w:t>
      </w:r>
      <w:r>
        <w:rPr>
          <w:rFonts w:hint="eastAsia" w:ascii="黑体" w:hAnsi="黑体" w:eastAsia="黑体" w:cs="黑体"/>
          <w:sz w:val="44"/>
          <w:szCs w:val="44"/>
          <w:lang w:eastAsia="zh-CN"/>
        </w:rPr>
        <w:t>应急管理局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部门整体支出绩效评价报告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为贯彻落实《中共中央国务院关于全面实施预算绩效管 理的意见》(中发〔2018〕34 号) 和《中共河南省委河南省 人民政府关于全面实施预算绩效管理的实施意见》(豫发〔2019〕10号)等文件精神，加强财政资金绩效管理，提高资金使用效益，石龙区财政局委托第三方机构组成评价组对2021年度平顶山市石龙区应急管理局部门整体支出资金进行绩效评价，现将有关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一、部门基本情况</w:t>
      </w:r>
      <w:bookmarkStart w:id="5" w:name="_GoBack"/>
      <w:bookmarkEnd w:id="5"/>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平顶山市石龙区应急管理局主要职责是：负责全区应急管理工作，指导各部门应对安全生产类、自然灾害类等突发事件和综合防灾减灾救灾工作，拟订全区应急管理、安全生产等政策规定，牵头建立统一的全区应急管理信息系统，组织指导协调安全生产类、自然灾害类等突发事件应急救援，指导协调、监督检查区政府有关部门安全生产工作，依法组织指导生产安全事故调查处理，制定应急物资储备和应急救援装备规划并组织实施，负责应急管理、安全生产宣传教育和培训工作</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(二)部门预算、决算情况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1.预算情况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2021年度</w:t>
      </w:r>
      <w:r>
        <w:rPr>
          <w:rFonts w:hint="eastAsia" w:ascii="仿宋" w:hAnsi="仿宋" w:eastAsia="仿宋" w:cs="仿宋"/>
          <w:sz w:val="32"/>
          <w:szCs w:val="32"/>
          <w:highlight w:val="none"/>
          <w:lang w:eastAsia="zh-CN"/>
        </w:rPr>
        <w:t>预算</w:t>
      </w:r>
      <w:r>
        <w:rPr>
          <w:rFonts w:hint="eastAsia" w:ascii="仿宋" w:hAnsi="仿宋" w:eastAsia="仿宋" w:cs="仿宋"/>
          <w:sz w:val="32"/>
          <w:szCs w:val="32"/>
          <w:highlight w:val="none"/>
          <w:lang w:val="en-US" w:eastAsia="zh-CN"/>
        </w:rPr>
        <w:t>收入</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959.85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其中一般公共预算</w:t>
      </w:r>
      <w:r>
        <w:rPr>
          <w:rFonts w:hint="eastAsia" w:ascii="仿宋" w:hAnsi="仿宋" w:eastAsia="仿宋" w:cs="仿宋"/>
          <w:sz w:val="32"/>
          <w:szCs w:val="32"/>
          <w:highlight w:val="none"/>
          <w:lang w:val="en-US" w:eastAsia="zh-CN"/>
        </w:rPr>
        <w:t>959.51万元，政府性基金0.34万元</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2021</w:t>
      </w:r>
      <w:r>
        <w:rPr>
          <w:rFonts w:hint="eastAsia" w:ascii="仿宋" w:hAnsi="仿宋" w:eastAsia="仿宋" w:cs="仿宋"/>
          <w:color w:val="auto"/>
          <w:sz w:val="32"/>
          <w:szCs w:val="32"/>
          <w:highlight w:val="none"/>
        </w:rPr>
        <w:t>年预算支出</w:t>
      </w:r>
      <w:r>
        <w:rPr>
          <w:rFonts w:hint="eastAsia" w:ascii="仿宋" w:hAnsi="仿宋" w:eastAsia="仿宋" w:cs="仿宋"/>
          <w:color w:val="auto"/>
          <w:sz w:val="32"/>
          <w:szCs w:val="32"/>
          <w:highlight w:val="none"/>
          <w:lang w:val="en-US" w:eastAsia="zh-CN"/>
        </w:rPr>
        <w:t>959.85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其中：基本支出883.68万元，占92.06%；项目支出76.17万元，占7.94%</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2.决算情况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w:t>
      </w:r>
      <w:r>
        <w:rPr>
          <w:rFonts w:hint="eastAsia" w:ascii="仿宋" w:hAnsi="仿宋" w:eastAsia="仿宋" w:cs="仿宋"/>
          <w:color w:val="auto"/>
          <w:sz w:val="32"/>
          <w:szCs w:val="32"/>
          <w:highlight w:val="none"/>
          <w:lang w:val="en-US" w:eastAsia="zh-CN"/>
        </w:rPr>
        <w:t>决</w:t>
      </w:r>
      <w:r>
        <w:rPr>
          <w:rFonts w:hint="eastAsia" w:ascii="仿宋" w:hAnsi="仿宋" w:eastAsia="仿宋" w:cs="仿宋"/>
          <w:color w:val="auto"/>
          <w:sz w:val="32"/>
          <w:szCs w:val="32"/>
          <w:highlight w:val="none"/>
        </w:rPr>
        <w:t>算收入为</w:t>
      </w:r>
      <w:r>
        <w:rPr>
          <w:rFonts w:hint="eastAsia" w:ascii="仿宋" w:hAnsi="仿宋" w:eastAsia="仿宋" w:cs="仿宋"/>
          <w:color w:val="auto"/>
          <w:sz w:val="32"/>
          <w:szCs w:val="32"/>
          <w:highlight w:val="none"/>
          <w:lang w:val="en-US" w:eastAsia="zh-CN"/>
        </w:rPr>
        <w:t>903.92</w:t>
      </w:r>
      <w:r>
        <w:rPr>
          <w:rFonts w:hint="eastAsia" w:ascii="仿宋" w:hAnsi="仿宋" w:eastAsia="仿宋" w:cs="仿宋"/>
          <w:color w:val="auto"/>
          <w:sz w:val="32"/>
          <w:szCs w:val="32"/>
          <w:highlight w:val="none"/>
        </w:rPr>
        <w:t>万元，其中一般公共预算</w:t>
      </w:r>
      <w:r>
        <w:rPr>
          <w:rFonts w:hint="eastAsia" w:ascii="仿宋" w:hAnsi="仿宋" w:eastAsia="仿宋" w:cs="仿宋"/>
          <w:sz w:val="32"/>
          <w:szCs w:val="32"/>
          <w:highlight w:val="none"/>
          <w:lang w:val="en-US" w:eastAsia="zh-CN"/>
        </w:rPr>
        <w:t>903.58</w:t>
      </w:r>
      <w:r>
        <w:rPr>
          <w:rFonts w:hint="eastAsia" w:ascii="仿宋" w:hAnsi="仿宋" w:eastAsia="仿宋" w:cs="仿宋"/>
          <w:color w:val="auto"/>
          <w:sz w:val="32"/>
          <w:szCs w:val="32"/>
          <w:highlight w:val="none"/>
        </w:rPr>
        <w:t>万元，政府性基金</w:t>
      </w:r>
      <w:r>
        <w:rPr>
          <w:rFonts w:hint="eastAsia" w:ascii="仿宋" w:hAnsi="仿宋" w:eastAsia="仿宋" w:cs="仿宋"/>
          <w:color w:val="auto"/>
          <w:sz w:val="32"/>
          <w:szCs w:val="32"/>
          <w:highlight w:val="none"/>
          <w:lang w:val="en-US" w:eastAsia="zh-CN"/>
        </w:rPr>
        <w:t>0.34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年初结转和结余395.51万元</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决</w:t>
      </w:r>
      <w:r>
        <w:rPr>
          <w:rFonts w:hint="eastAsia" w:ascii="仿宋" w:hAnsi="仿宋" w:eastAsia="仿宋" w:cs="仿宋"/>
          <w:color w:val="auto"/>
          <w:sz w:val="32"/>
          <w:szCs w:val="32"/>
          <w:highlight w:val="none"/>
        </w:rPr>
        <w:t>算支出</w:t>
      </w:r>
      <w:r>
        <w:rPr>
          <w:rFonts w:hint="eastAsia" w:ascii="仿宋" w:hAnsi="仿宋" w:eastAsia="仿宋" w:cs="仿宋"/>
          <w:color w:val="auto"/>
          <w:sz w:val="32"/>
          <w:szCs w:val="32"/>
          <w:highlight w:val="none"/>
          <w:lang w:val="en-US" w:eastAsia="zh-CN"/>
        </w:rPr>
        <w:t>为1204.96万元，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125.54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其中：基本支出920.81万元，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104.20%；项目支出283.81万元，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372.60%。年末结转和结余94.47万元。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(三)部门年度重点工作任务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（1）加强应急管理工作，指导应对安全生产类、自然灾害类等突发事件和综合防灾减灾救灾。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（2）深入工矿商贸行业、危险化学品行业安全生产监督管理工作，开展隐患排查工作专项治理。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（3）编制区总体应急预案和安全生产、自然灾害专项预案。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（4）开展安全生产、应急管理新闻宣传，安全生产宣传教育和培训工作。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（5）加强监测预警，应急管理安全生产网格化管理及信息化建设。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二、绩效评价工作开展情况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(一)绩效评价目的、对象和范围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本次评价目的是了解财政资金使用情况和取得的效果，提高财政资源配置效率和使用效益。通过对石龙区</w:t>
      </w:r>
      <w:r>
        <w:rPr>
          <w:rFonts w:hint="eastAsia" w:ascii="仿宋" w:hAnsi="仿宋" w:eastAsia="仿宋" w:cs="仿宋"/>
          <w:sz w:val="32"/>
          <w:szCs w:val="32"/>
          <w:lang w:val="en-US" w:eastAsia="zh-CN"/>
        </w:rPr>
        <w:t>应急管理局</w:t>
      </w:r>
      <w:r>
        <w:rPr>
          <w:rFonts w:hint="default" w:ascii="仿宋" w:hAnsi="仿宋" w:eastAsia="仿宋" w:cs="仿宋"/>
          <w:sz w:val="32"/>
          <w:szCs w:val="32"/>
          <w:lang w:val="en-US" w:eastAsia="zh-CN"/>
        </w:rPr>
        <w:t>2021年度</w:t>
      </w:r>
      <w:r>
        <w:rPr>
          <w:rFonts w:hint="eastAsia" w:ascii="仿宋" w:hAnsi="仿宋" w:eastAsia="仿宋" w:cs="仿宋"/>
          <w:sz w:val="32"/>
          <w:szCs w:val="32"/>
          <w:lang w:val="en-US" w:eastAsia="zh-CN"/>
        </w:rPr>
        <w:t>部门整体支出</w:t>
      </w:r>
      <w:r>
        <w:rPr>
          <w:rFonts w:hint="default" w:ascii="仿宋" w:hAnsi="仿宋" w:eastAsia="仿宋" w:cs="仿宋"/>
          <w:sz w:val="32"/>
          <w:szCs w:val="32"/>
          <w:lang w:val="en-US" w:eastAsia="zh-CN"/>
        </w:rPr>
        <w:t>中项目决策、项目管理、</w:t>
      </w:r>
      <w:r>
        <w:rPr>
          <w:rFonts w:hint="eastAsia" w:ascii="仿宋" w:hAnsi="仿宋" w:eastAsia="仿宋" w:cs="仿宋"/>
          <w:sz w:val="32"/>
          <w:szCs w:val="32"/>
          <w:lang w:val="en-US" w:eastAsia="zh-CN"/>
        </w:rPr>
        <w:t>履职效能、运行成本</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社会</w:t>
      </w:r>
      <w:r>
        <w:rPr>
          <w:rFonts w:hint="default" w:ascii="仿宋" w:hAnsi="仿宋" w:eastAsia="仿宋" w:cs="仿宋"/>
          <w:sz w:val="32"/>
          <w:szCs w:val="32"/>
          <w:lang w:val="en-US" w:eastAsia="zh-CN"/>
        </w:rPr>
        <w:t>效益</w:t>
      </w:r>
      <w:r>
        <w:rPr>
          <w:rFonts w:hint="eastAsia" w:ascii="仿宋" w:hAnsi="仿宋" w:eastAsia="仿宋" w:cs="仿宋"/>
          <w:sz w:val="32"/>
          <w:szCs w:val="32"/>
          <w:lang w:val="en-US" w:eastAsia="zh-CN"/>
        </w:rPr>
        <w:t>、可持续性发展能力</w:t>
      </w:r>
      <w:r>
        <w:rPr>
          <w:rFonts w:hint="default" w:ascii="仿宋" w:hAnsi="仿宋" w:eastAsia="仿宋" w:cs="仿宋"/>
          <w:sz w:val="32"/>
          <w:szCs w:val="32"/>
          <w:lang w:val="en-US" w:eastAsia="zh-CN"/>
        </w:rPr>
        <w:t>等情况进行评价</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促使项目主管部门、实施单位根据绩效评价中发现的问题，及时调整和完善工作计划和绩效目标，为后续资金投入、分配和管理提供决策依据。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(二)绩效评价原则、方法和标准及指标体系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本次绩效评价原则：坚持真实、科学、公正的原则；坚 持综合绩效评价的原则；坚持定量分析与定性分析的原则； 坚持绩效评价与项目支出管理相结合的原则。本次采取比较法、因素分析法、公众评判法相结合的评价方法开展评价工作。采取计划标准、行业标准和历史标准相结合的评价标准开展评价工作，衡量财政支出绩效目标完成程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default" w:ascii="仿宋" w:hAnsi="仿宋" w:eastAsia="仿宋" w:cs="仿宋"/>
          <w:sz w:val="32"/>
          <w:szCs w:val="32"/>
          <w:lang w:val="en-US" w:eastAsia="zh-CN"/>
        </w:rPr>
        <w:t>本次评价指标体系根据</w:t>
      </w:r>
      <w:r>
        <w:rPr>
          <w:rFonts w:hint="eastAsia" w:ascii="仿宋" w:hAnsi="仿宋" w:eastAsia="仿宋" w:cs="仿宋"/>
          <w:sz w:val="32"/>
          <w:szCs w:val="32"/>
          <w:highlight w:val="none"/>
          <w:lang w:val="zh-CN"/>
        </w:rPr>
        <w:t>石龙区财政局《关于开展202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zh-CN"/>
        </w:rPr>
        <w:t>年度</w:t>
      </w:r>
      <w:r>
        <w:rPr>
          <w:rFonts w:hint="eastAsia" w:ascii="仿宋" w:hAnsi="仿宋" w:eastAsia="仿宋" w:cs="仿宋"/>
          <w:sz w:val="32"/>
          <w:szCs w:val="32"/>
          <w:highlight w:val="none"/>
          <w:lang w:val="en-US" w:eastAsia="zh-CN"/>
        </w:rPr>
        <w:t>区级重点项目及部门整体绩效评价工作</w:t>
      </w:r>
      <w:r>
        <w:rPr>
          <w:rFonts w:hint="eastAsia" w:ascii="仿宋" w:hAnsi="仿宋" w:eastAsia="仿宋" w:cs="仿宋"/>
          <w:sz w:val="32"/>
          <w:szCs w:val="32"/>
          <w:highlight w:val="none"/>
          <w:lang w:val="zh-CN"/>
        </w:rPr>
        <w:t>的通知》</w:t>
      </w:r>
      <w:r>
        <w:rPr>
          <w:rFonts w:hint="default" w:ascii="仿宋" w:hAnsi="仿宋" w:eastAsia="仿宋" w:cs="仿宋"/>
          <w:sz w:val="32"/>
          <w:szCs w:val="32"/>
          <w:lang w:val="en-US" w:eastAsia="zh-CN"/>
        </w:rPr>
        <w:t>，本项目绩效评价指标体系共设置</w:t>
      </w:r>
      <w:r>
        <w:rPr>
          <w:rFonts w:hint="eastAsia" w:ascii="仿宋" w:hAnsi="仿宋" w:eastAsia="仿宋" w:cs="仿宋"/>
          <w:color w:val="000000" w:themeColor="text1"/>
          <w:sz w:val="32"/>
          <w:szCs w:val="32"/>
          <w:highlight w:val="none"/>
          <w14:textFill>
            <w14:solidFill>
              <w14:schemeClr w14:val="tx1"/>
            </w14:solidFill>
          </w14:textFill>
        </w:rPr>
        <w:t>一级指标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个，二级指标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17</w:t>
      </w:r>
      <w:r>
        <w:rPr>
          <w:rFonts w:hint="eastAsia" w:ascii="仿宋" w:hAnsi="仿宋" w:eastAsia="仿宋" w:cs="仿宋"/>
          <w:color w:val="000000" w:themeColor="text1"/>
          <w:sz w:val="32"/>
          <w:szCs w:val="32"/>
          <w:highlight w:val="none"/>
          <w14:textFill>
            <w14:solidFill>
              <w14:schemeClr w14:val="tx1"/>
            </w14:solidFill>
          </w14:textFill>
        </w:rPr>
        <w:t>个，三级指标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47</w:t>
      </w:r>
      <w:r>
        <w:rPr>
          <w:rFonts w:hint="eastAsia" w:ascii="仿宋" w:hAnsi="仿宋" w:eastAsia="仿宋" w:cs="仿宋"/>
          <w:color w:val="000000" w:themeColor="text1"/>
          <w:sz w:val="32"/>
          <w:szCs w:val="32"/>
          <w:highlight w:val="none"/>
          <w14:textFill>
            <w14:solidFill>
              <w14:schemeClr w14:val="tx1"/>
            </w14:solidFill>
          </w14:textFill>
        </w:rPr>
        <w:t>个，指标权重自上而下按指标层次分步确定权重，决策指标、</w:t>
      </w:r>
      <w:r>
        <w:rPr>
          <w:rFonts w:hint="eastAsia" w:ascii="仿宋" w:hAnsi="仿宋" w:eastAsia="仿宋" w:cs="仿宋"/>
          <w:color w:val="000000" w:themeColor="text1"/>
          <w:sz w:val="32"/>
          <w:szCs w:val="32"/>
          <w:highlight w:val="none"/>
          <w:lang w:val="en-US" w:eastAsia="zh-CN"/>
          <w14:textFill>
            <w14:solidFill>
              <w14:schemeClr w14:val="tx1"/>
            </w14:solidFill>
          </w14:textFill>
        </w:rPr>
        <w:t>管理</w:t>
      </w:r>
      <w:r>
        <w:rPr>
          <w:rFonts w:hint="eastAsia" w:ascii="仿宋" w:hAnsi="仿宋" w:eastAsia="仿宋" w:cs="仿宋"/>
          <w:color w:val="000000" w:themeColor="text1"/>
          <w:sz w:val="32"/>
          <w:szCs w:val="32"/>
          <w:highlight w:val="none"/>
          <w14:textFill>
            <w14:solidFill>
              <w14:schemeClr w14:val="tx1"/>
            </w14:solidFill>
          </w14:textFill>
        </w:rPr>
        <w:t>指标、</w:t>
      </w:r>
      <w:r>
        <w:rPr>
          <w:rFonts w:hint="eastAsia" w:ascii="仿宋" w:hAnsi="仿宋" w:eastAsia="仿宋" w:cs="仿宋"/>
          <w:color w:val="000000" w:themeColor="text1"/>
          <w:sz w:val="32"/>
          <w:szCs w:val="32"/>
          <w:highlight w:val="none"/>
          <w:lang w:eastAsia="zh-CN"/>
          <w14:textFill>
            <w14:solidFill>
              <w14:schemeClr w14:val="tx1"/>
            </w14:solidFill>
          </w14:textFill>
        </w:rPr>
        <w:t>履职效能指标、运行成本指标、社会效益指标、可持续性发展能力指标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分值依次为10分、30分、30分、10分、15分、5分。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(三)绩效评价工作过程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left"/>
        <w:textAlignment w:val="auto"/>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default" w:ascii="仿宋" w:hAnsi="仿宋" w:eastAsia="仿宋" w:cs="仿宋"/>
          <w:color w:val="000000" w:themeColor="text1"/>
          <w:kern w:val="0"/>
          <w:sz w:val="32"/>
          <w:szCs w:val="32"/>
          <w:highlight w:val="none"/>
          <w:lang w:val="en-US" w:eastAsia="zh-CN"/>
          <w14:textFill>
            <w14:solidFill>
              <w14:schemeClr w14:val="tx1"/>
            </w14:solidFill>
          </w14:textFill>
        </w:rPr>
        <w:t>本次绩效评价工作开展以来历经前期准备、指标体系及 方案设计、实地调研、数据整理、评价实施、报告撰写等阶段。在此基础上，按要求形成初步评价报告，并根据相关部门、专家意见进行修改完善，形成最终绩效评价报告。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三、综合评价情况及评价结论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(一)综合评价情况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整体来看，</w:t>
      </w:r>
      <w:r>
        <w:rPr>
          <w:rFonts w:hint="eastAsia" w:ascii="仿宋" w:hAnsi="仿宋" w:eastAsia="仿宋" w:cs="仿宋"/>
          <w:sz w:val="32"/>
          <w:szCs w:val="32"/>
          <w:highlight w:val="none"/>
          <w:lang w:val="en-US" w:eastAsia="zh-CN"/>
        </w:rPr>
        <w:t>2021年度平顶山市石龙区应急管理局部门整体支出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决策制度科学、中长期规划明确、年度工作计划明确、预算执行率高、资金使用合规、预决算信息公开及时、基础信息完善、绩效目标合理、财务管理规范、固定资产利用率高、制度执行有效等。通过2021年工作实施，石龙区应急管理局部门整体支出提升了企业安全生产管理能力，增强了企业安全生产意识，社会效益取得良好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经过分析，部门整体支出仍存在预算管理制度不健全、 预算编制不精准、政府采购执行率低、预算绩效管理机制不健全、绩效指标不够明确、绩效监控不到位、绩效自评质量有待提高等问题。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(二)评价结论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依据2021年度平顶山市石龙区应急管理局部门整体支出绩效评价指标体系，评价组对2021年度平顶山市石龙区应急管理局部门整体支出进行打分，最终得分为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88.85</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分。参照平顶山市财政局《平顶山市市级预算绩效管理办法》（平财效〔2021〕5号）的有关规定，绩效评价结果等级为“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良</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p>
    <w:tbl>
      <w:tblPr>
        <w:tblStyle w:val="8"/>
        <w:tblpPr w:leftFromText="180" w:rightFromText="180" w:vertAnchor="text" w:horzAnchor="page" w:tblpX="1945" w:tblpY="38"/>
        <w:tblOverlap w:val="never"/>
        <w:tblW w:w="83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080"/>
        <w:gridCol w:w="1065"/>
        <w:gridCol w:w="1050"/>
        <w:gridCol w:w="1005"/>
        <w:gridCol w:w="975"/>
        <w:gridCol w:w="1245"/>
        <w:gridCol w:w="1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8355" w:type="dxa"/>
            <w:gridSpan w:val="8"/>
            <w:noWrap/>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4"/>
                <w:szCs w:val="24"/>
              </w:rPr>
            </w:pPr>
            <w:r>
              <w:rPr>
                <w:rFonts w:hint="eastAsia" w:ascii="黑体" w:hAnsi="黑体" w:eastAsia="黑体" w:cs="黑体"/>
                <w:b w:val="0"/>
                <w:bCs w:val="0"/>
                <w:sz w:val="24"/>
                <w:szCs w:val="24"/>
                <w:highlight w:val="none"/>
                <w:lang w:val="en-US" w:eastAsia="zh-CN"/>
              </w:rPr>
              <w:t>2021年度平顶山市石龙区应急管理局部门整体支出</w:t>
            </w:r>
            <w:r>
              <w:rPr>
                <w:rFonts w:hint="eastAsia" w:ascii="黑体" w:hAnsi="黑体" w:eastAsia="黑体" w:cs="黑体"/>
                <w:b w:val="0"/>
                <w:bCs w:val="0"/>
                <w:color w:val="000000"/>
                <w:kern w:val="0"/>
                <w:sz w:val="24"/>
                <w:szCs w:val="24"/>
                <w:highlight w:val="none"/>
              </w:rPr>
              <w:t>绩效评价得分情况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91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108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部门</w:t>
            </w:r>
            <w:r>
              <w:rPr>
                <w:rFonts w:hint="eastAsia" w:ascii="仿宋" w:hAnsi="仿宋" w:eastAsia="仿宋" w:cs="仿宋"/>
                <w:color w:val="000000"/>
                <w:kern w:val="0"/>
                <w:sz w:val="24"/>
                <w:szCs w:val="24"/>
              </w:rPr>
              <w:t>决策</w:t>
            </w:r>
          </w:p>
        </w:tc>
        <w:tc>
          <w:tcPr>
            <w:tcW w:w="106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部门</w:t>
            </w:r>
            <w:r>
              <w:rPr>
                <w:rFonts w:hint="eastAsia" w:ascii="仿宋" w:hAnsi="仿宋" w:eastAsia="仿宋" w:cs="仿宋"/>
                <w:color w:val="000000"/>
                <w:kern w:val="0"/>
                <w:sz w:val="24"/>
                <w:szCs w:val="24"/>
              </w:rPr>
              <w:t>管理</w:t>
            </w:r>
          </w:p>
        </w:tc>
        <w:tc>
          <w:tcPr>
            <w:tcW w:w="105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履职效能</w:t>
            </w:r>
          </w:p>
        </w:tc>
        <w:tc>
          <w:tcPr>
            <w:tcW w:w="100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运行成本</w:t>
            </w:r>
          </w:p>
        </w:tc>
        <w:tc>
          <w:tcPr>
            <w:tcW w:w="97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社会效益</w:t>
            </w:r>
          </w:p>
        </w:tc>
        <w:tc>
          <w:tcPr>
            <w:tcW w:w="124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可持续性发展能力</w:t>
            </w:r>
          </w:p>
        </w:tc>
        <w:tc>
          <w:tcPr>
            <w:tcW w:w="102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91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权重</w:t>
            </w:r>
          </w:p>
        </w:tc>
        <w:tc>
          <w:tcPr>
            <w:tcW w:w="108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106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30</w:t>
            </w:r>
          </w:p>
        </w:tc>
        <w:tc>
          <w:tcPr>
            <w:tcW w:w="105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30</w:t>
            </w:r>
          </w:p>
        </w:tc>
        <w:tc>
          <w:tcPr>
            <w:tcW w:w="100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97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15</w:t>
            </w:r>
          </w:p>
        </w:tc>
        <w:tc>
          <w:tcPr>
            <w:tcW w:w="124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w:t>
            </w:r>
          </w:p>
        </w:tc>
        <w:tc>
          <w:tcPr>
            <w:tcW w:w="102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91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得分</w:t>
            </w:r>
          </w:p>
        </w:tc>
        <w:tc>
          <w:tcPr>
            <w:tcW w:w="108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106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20.85</w:t>
            </w:r>
          </w:p>
        </w:tc>
        <w:tc>
          <w:tcPr>
            <w:tcW w:w="105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30</w:t>
            </w:r>
          </w:p>
        </w:tc>
        <w:tc>
          <w:tcPr>
            <w:tcW w:w="100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97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14</w:t>
            </w:r>
          </w:p>
        </w:tc>
        <w:tc>
          <w:tcPr>
            <w:tcW w:w="124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102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88.85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trPr>
        <w:tc>
          <w:tcPr>
            <w:tcW w:w="91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得分率</w:t>
            </w:r>
          </w:p>
        </w:tc>
        <w:tc>
          <w:tcPr>
            <w:tcW w:w="108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100%</w:t>
            </w:r>
          </w:p>
        </w:tc>
        <w:tc>
          <w:tcPr>
            <w:tcW w:w="106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69.5%</w:t>
            </w:r>
          </w:p>
        </w:tc>
        <w:tc>
          <w:tcPr>
            <w:tcW w:w="105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100%</w:t>
            </w:r>
          </w:p>
        </w:tc>
        <w:tc>
          <w:tcPr>
            <w:tcW w:w="100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100%</w:t>
            </w:r>
          </w:p>
        </w:tc>
        <w:tc>
          <w:tcPr>
            <w:tcW w:w="97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93.33%</w:t>
            </w:r>
          </w:p>
        </w:tc>
        <w:tc>
          <w:tcPr>
            <w:tcW w:w="1245"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80%</w:t>
            </w:r>
          </w:p>
        </w:tc>
        <w:tc>
          <w:tcPr>
            <w:tcW w:w="1020" w:type="dxa"/>
            <w:noWrap/>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88.85%</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四、绩效评价指标分析</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 部门决策情况：</w:t>
      </w:r>
      <w:r>
        <w:rPr>
          <w:rFonts w:hint="eastAsia" w:ascii="仿宋" w:hAnsi="仿宋" w:eastAsia="仿宋" w:cs="仿宋"/>
          <w:sz w:val="32"/>
          <w:szCs w:val="32"/>
          <w:lang w:val="en-US" w:eastAsia="zh-CN"/>
        </w:rPr>
        <w:t>1.决策机制指标分值3分，得3分。其中决策制度的科学性得3分。2.中长期规划分值3分，得3分。其中中长期规划明确性得1分；中长期规划与部门职能的匹配性得2分。3.年度工作计划指标分值4分，得4分，其中年度工作计划明确性得2分；年度工作计划与部门职能匹配性得2分。</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（二）部门管理情况：</w:t>
      </w:r>
      <w:r>
        <w:rPr>
          <w:rFonts w:hint="eastAsia" w:ascii="仿宋" w:hAnsi="仿宋" w:eastAsia="仿宋" w:cs="仿宋"/>
          <w:kern w:val="2"/>
          <w:sz w:val="32"/>
          <w:szCs w:val="32"/>
          <w:lang w:val="en-US" w:eastAsia="zh-CN" w:bidi="ar-SA"/>
        </w:rPr>
        <w:t>1.预算管理指标分值9分，得6.75分。其中预算管理制度健全性得0.25分；预算编制得0.25分；预算执行率得1分；预算调整率得0.75分；结转结余变动率得1分；政府采购执行率得0.5分；资金使用合规性得1分；预决算信息公开及时性得1分；基础信息完善性得1分。2.绩效管理指标分值8分，得3.5分。其中预算绩效管理机制得0分；绩效目标合理性得2分；绩效指标明确性得1分；绩效监控完成情况得0分；绩效自评完成情况得0.5分；评价结果应用情况得0分。3.财务管理指标分值5分，得4分。其中财务管理规范性得2分；支出结构合理性得2分。4.资产管理指标分值3分，得2.6分。其中资产管理规范性得1.6分；固定资产利用率得1分。5.业务管理指标分值5分，得4分。其中管理制度健全性得1分；制度执行有效性得3分。</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auto"/>
        <w:rPr>
          <w:rFonts w:hint="default"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（三）履职效能情况：</w:t>
      </w:r>
      <w:r>
        <w:rPr>
          <w:rFonts w:hint="eastAsia" w:ascii="仿宋" w:hAnsi="仿宋" w:eastAsia="仿宋" w:cs="仿宋"/>
          <w:kern w:val="2"/>
          <w:sz w:val="32"/>
          <w:szCs w:val="32"/>
          <w:lang w:val="en-US" w:eastAsia="zh-CN" w:bidi="ar-SA"/>
        </w:rPr>
        <w:t>1.安全生产监管工作指标分值15分，得15分。其中完善应急管理体系得2.5分；特殊时期安全生产工作得2.5分；森林防灭火工作得2.5分；安全生产大检查工作得2.5分；安全生产专项整治三年行动工作得2.5分；季节性安全生产大检查和专项整治工作。2.区重点工作指标分值15分，得15分。其中全面从严治党工作得2.5分；招商引资工作得2.5分；乡村振兴工作得2.5分；万人助万企工作得2.5分；创文保卫工作得2.5分；疫情防控工作得2.5分。</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（四）运行成本情况：</w:t>
      </w:r>
      <w:r>
        <w:rPr>
          <w:rFonts w:hint="eastAsia" w:ascii="仿宋" w:hAnsi="仿宋" w:eastAsia="仿宋" w:cs="仿宋"/>
          <w:kern w:val="2"/>
          <w:sz w:val="32"/>
          <w:szCs w:val="32"/>
          <w:lang w:val="en-US" w:eastAsia="zh-CN" w:bidi="ar-SA"/>
        </w:rPr>
        <w:t>1.基本经费指标分值5分，得5分。其中财政供养人员控制率得2分；“三公经费”变动率得3分。2.项目经费指标分值5分，得5分。其中项目支出合规性得5分。</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auto"/>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（五）社会效益情况：</w:t>
      </w:r>
      <w:r>
        <w:rPr>
          <w:rFonts w:hint="eastAsia" w:ascii="仿宋" w:hAnsi="仿宋" w:eastAsia="仿宋" w:cs="仿宋"/>
          <w:kern w:val="2"/>
          <w:sz w:val="32"/>
          <w:szCs w:val="32"/>
          <w:lang w:val="en-US" w:eastAsia="zh-CN" w:bidi="ar-SA"/>
        </w:rPr>
        <w:t>1.社会效益指标分值10分，得9分。其中提升企业安全生产管理能力得5分；增强企业安全生产意识得4分。2.服务对象满意度指标分值5分，得5分。其中企业满意度得5分。</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auto"/>
        <w:rPr>
          <w:rFonts w:hint="default"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（六）可持续性发展能力情况：</w:t>
      </w:r>
      <w:r>
        <w:rPr>
          <w:rFonts w:hint="eastAsia" w:ascii="仿宋" w:hAnsi="仿宋" w:eastAsia="仿宋" w:cs="仿宋"/>
          <w:kern w:val="2"/>
          <w:sz w:val="32"/>
          <w:szCs w:val="32"/>
          <w:lang w:val="en-US" w:eastAsia="zh-CN" w:bidi="ar-SA"/>
        </w:rPr>
        <w:t>1.政策制度分值2分，得2分。其中政策制度可持续得2分。2.队伍建设指标分值2分，得1分。其中部门干部培训得1分。3.经费保障指标分值1分，得1分。其中经费投入可持续得1分。</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五、存在的问题及原因分析</w:t>
      </w:r>
    </w:p>
    <w:p>
      <w:pPr>
        <w:pStyle w:val="3"/>
        <w:pageBreakBefore w:val="0"/>
        <w:widowControl w:val="0"/>
        <w:numPr>
          <w:ilvl w:val="0"/>
          <w:numId w:val="0"/>
        </w:numPr>
        <w:kinsoku/>
        <w:wordWrap/>
        <w:overflowPunct/>
        <w:topLinePunct w:val="0"/>
        <w:autoSpaceDE/>
        <w:autoSpaceDN/>
        <w:bidi w:val="0"/>
        <w:adjustRightInd w:val="0"/>
        <w:snapToGrid w:val="0"/>
        <w:spacing w:after="0" w:line="600" w:lineRule="exact"/>
        <w:ind w:left="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（一）绩效目标任务分解不详细，</w:t>
      </w:r>
      <w:r>
        <w:rPr>
          <w:rFonts w:hint="eastAsia" w:ascii="楷体" w:hAnsi="楷体" w:eastAsia="楷体" w:cs="楷体"/>
          <w:b w:val="0"/>
          <w:bCs w:val="0"/>
          <w:color w:val="auto"/>
          <w:sz w:val="32"/>
          <w:szCs w:val="32"/>
        </w:rPr>
        <w:t>绩效指标</w:t>
      </w:r>
      <w:r>
        <w:rPr>
          <w:rFonts w:hint="eastAsia" w:ascii="楷体" w:hAnsi="楷体" w:eastAsia="楷体" w:cs="楷体"/>
          <w:b w:val="0"/>
          <w:bCs w:val="0"/>
          <w:color w:val="auto"/>
          <w:sz w:val="32"/>
          <w:szCs w:val="32"/>
          <w:lang w:val="en-US" w:eastAsia="zh-CN"/>
        </w:rPr>
        <w:t>值</w:t>
      </w:r>
      <w:r>
        <w:rPr>
          <w:rFonts w:hint="eastAsia" w:ascii="楷体" w:hAnsi="楷体" w:eastAsia="楷体" w:cs="楷体"/>
          <w:b w:val="0"/>
          <w:bCs w:val="0"/>
          <w:color w:val="auto"/>
          <w:sz w:val="32"/>
          <w:szCs w:val="32"/>
        </w:rPr>
        <w:t>设置不合理</w:t>
      </w:r>
      <w:r>
        <w:rPr>
          <w:rFonts w:hint="eastAsia" w:ascii="楷体" w:hAnsi="楷体" w:eastAsia="楷体" w:cs="楷体"/>
          <w:b w:val="0"/>
          <w:bCs w:val="0"/>
          <w:color w:val="auto"/>
          <w:sz w:val="32"/>
          <w:szCs w:val="32"/>
          <w:lang w:eastAsia="zh-CN"/>
        </w:rPr>
        <w:t>。</w:t>
      </w:r>
    </w:p>
    <w:p>
      <w:pPr>
        <w:pStyle w:val="3"/>
        <w:pageBreakBefore w:val="0"/>
        <w:widowControl w:val="0"/>
        <w:numPr>
          <w:ilvl w:val="0"/>
          <w:numId w:val="0"/>
        </w:numPr>
        <w:kinsoku/>
        <w:wordWrap/>
        <w:overflowPunct/>
        <w:topLinePunct w:val="0"/>
        <w:autoSpaceDE/>
        <w:autoSpaceDN/>
        <w:bidi w:val="0"/>
        <w:adjustRightInd w:val="0"/>
        <w:snapToGrid w:val="0"/>
        <w:spacing w:after="0" w:line="60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部门整体绩效目标</w:t>
      </w:r>
      <w:r>
        <w:rPr>
          <w:rFonts w:hint="eastAsia" w:ascii="仿宋" w:hAnsi="仿宋" w:eastAsia="仿宋" w:cs="仿宋"/>
          <w:color w:val="auto"/>
          <w:sz w:val="32"/>
          <w:szCs w:val="32"/>
          <w:lang w:val="en-US" w:eastAsia="zh-CN"/>
        </w:rPr>
        <w:t>中年度主要任务</w:t>
      </w:r>
      <w:r>
        <w:rPr>
          <w:rFonts w:hint="eastAsia" w:ascii="仿宋" w:hAnsi="仿宋" w:eastAsia="仿宋" w:cs="仿宋"/>
          <w:color w:val="auto"/>
          <w:sz w:val="32"/>
          <w:szCs w:val="32"/>
        </w:rPr>
        <w:t>与部门年度的任务数或计划数</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相对应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指标值的设置不合理</w:t>
      </w:r>
      <w:r>
        <w:rPr>
          <w:rFonts w:hint="eastAsia" w:ascii="仿宋" w:hAnsi="仿宋" w:eastAsia="仿宋" w:cs="仿宋"/>
          <w:color w:val="auto"/>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 w:hAnsi="楷体" w:eastAsia="楷体" w:cs="楷体"/>
          <w:b w:val="0"/>
          <w:bCs w:val="0"/>
          <w:color w:val="auto"/>
          <w:kern w:val="2"/>
          <w:sz w:val="32"/>
          <w:szCs w:val="32"/>
          <w:lang w:val="en-US" w:eastAsia="zh-CN" w:bidi="ar-SA"/>
        </w:rPr>
      </w:pPr>
      <w:bookmarkStart w:id="0" w:name="_Toc3209"/>
      <w:r>
        <w:rPr>
          <w:rFonts w:hint="eastAsia" w:ascii="楷体" w:hAnsi="楷体" w:eastAsia="楷体" w:cs="楷体"/>
          <w:b w:val="0"/>
          <w:bCs w:val="0"/>
          <w:color w:val="auto"/>
          <w:kern w:val="2"/>
          <w:sz w:val="32"/>
          <w:szCs w:val="32"/>
          <w:lang w:val="en-US" w:eastAsia="zh-CN" w:bidi="ar-SA"/>
        </w:rPr>
        <w:t>（二）未开展绩效监控，绩效管理工作有待加强。</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未组织开展绩效运行监控等工作，未对部门整体履职和资金支出情况及时进行监控。</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（三）绩效自评工作质量有待提高。</w:t>
      </w:r>
    </w:p>
    <w:p>
      <w:pPr>
        <w:pageBreakBefore w:val="0"/>
        <w:widowControl w:val="0"/>
        <w:kinsoku/>
        <w:wordWrap/>
        <w:overflowPunct/>
        <w:topLinePunct w:val="0"/>
        <w:autoSpaceDE/>
        <w:autoSpaceDN/>
        <w:bidi w:val="0"/>
        <w:adjustRightInd w:val="0"/>
        <w:snapToGrid w:val="0"/>
        <w:spacing w:line="600" w:lineRule="exact"/>
        <w:ind w:left="0"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部门整体绩效自评表</w:t>
      </w:r>
      <w:r>
        <w:rPr>
          <w:rFonts w:hint="eastAsia" w:ascii="仿宋" w:hAnsi="仿宋" w:eastAsia="仿宋" w:cs="仿宋"/>
          <w:color w:val="auto"/>
          <w:sz w:val="32"/>
          <w:szCs w:val="32"/>
          <w:highlight w:val="none"/>
          <w:lang w:val="en-US" w:eastAsia="zh-CN"/>
        </w:rPr>
        <w:t>中预算执行情况全年执行数的填列和2021年决算数据不一致；年度总体目标和年度主要任务的实际完成情况没有结合实际完成情况填写；总体分值设置存在错误等。</w:t>
      </w:r>
    </w:p>
    <w:bookmarkEnd w:id="0"/>
    <w:p>
      <w:pPr>
        <w:pStyle w:val="3"/>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（四）管理制度不健全，缺乏内控机制。</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在预算管理、绩效管理、内控管理</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方面</w:t>
      </w:r>
      <w:r>
        <w:rPr>
          <w:rFonts w:hint="eastAsia" w:ascii="仿宋" w:hAnsi="仿宋" w:eastAsia="仿宋" w:cs="仿宋"/>
          <w:color w:val="auto"/>
          <w:sz w:val="32"/>
          <w:szCs w:val="32"/>
        </w:rPr>
        <w:t>没有建立行之有效的</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，对内部控制缺乏强有效的内外监督机制。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（五）预算编制不精准，未经过科学论证。</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auto"/>
        <w:rPr>
          <w:rFonts w:hint="default"/>
          <w:lang w:val="en-US" w:eastAsia="zh-CN"/>
        </w:rPr>
      </w:pPr>
      <w:r>
        <w:rPr>
          <w:rFonts w:hint="eastAsia" w:ascii="仿宋" w:hAnsi="仿宋" w:eastAsia="仿宋" w:cs="仿宋"/>
          <w:sz w:val="32"/>
          <w:szCs w:val="32"/>
          <w:lang w:val="en-US" w:eastAsia="zh-CN"/>
        </w:rPr>
        <w:t>部分项目预算编制金额与实际执行偏差较大，没有充分考虑往年平均预算执行水平，结合实际运用科学的预算编制方法。</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有关建议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楷体" w:hAnsi="楷体" w:eastAsia="楷体" w:cs="楷体"/>
          <w:b w:val="0"/>
          <w:bCs w:val="0"/>
          <w:color w:val="auto"/>
          <w:sz w:val="32"/>
          <w:szCs w:val="32"/>
        </w:rPr>
        <w:t>落实绩效责任主体，</w:t>
      </w:r>
      <w:r>
        <w:rPr>
          <w:rFonts w:hint="eastAsia" w:ascii="楷体" w:hAnsi="楷体" w:eastAsia="楷体" w:cs="楷体"/>
          <w:b w:val="0"/>
          <w:bCs w:val="0"/>
          <w:color w:val="auto"/>
          <w:sz w:val="32"/>
          <w:szCs w:val="32"/>
          <w:lang w:val="en-US" w:eastAsia="zh-CN"/>
        </w:rPr>
        <w:t>提</w:t>
      </w:r>
      <w:r>
        <w:rPr>
          <w:rFonts w:hint="eastAsia" w:ascii="楷体" w:hAnsi="楷体" w:eastAsia="楷体" w:cs="楷体"/>
          <w:b w:val="0"/>
          <w:bCs w:val="0"/>
          <w:sz w:val="32"/>
          <w:szCs w:val="32"/>
        </w:rPr>
        <w:t>高</w:t>
      </w:r>
      <w:r>
        <w:rPr>
          <w:rFonts w:hint="eastAsia" w:ascii="楷体" w:hAnsi="楷体" w:eastAsia="楷体" w:cs="楷体"/>
          <w:b w:val="0"/>
          <w:bCs w:val="0"/>
          <w:sz w:val="32"/>
          <w:szCs w:val="32"/>
          <w:lang w:val="en-US" w:eastAsia="zh-CN"/>
        </w:rPr>
        <w:t>绩效</w:t>
      </w:r>
      <w:r>
        <w:rPr>
          <w:rFonts w:hint="eastAsia" w:ascii="楷体" w:hAnsi="楷体" w:eastAsia="楷体" w:cs="楷体"/>
          <w:b w:val="0"/>
          <w:bCs w:val="0"/>
          <w:color w:val="auto"/>
          <w:sz w:val="32"/>
          <w:szCs w:val="32"/>
        </w:rPr>
        <w:t>管理</w:t>
      </w:r>
      <w:r>
        <w:rPr>
          <w:rFonts w:hint="eastAsia" w:ascii="楷体" w:hAnsi="楷体" w:eastAsia="楷体" w:cs="楷体"/>
          <w:b w:val="0"/>
          <w:bCs w:val="0"/>
          <w:sz w:val="32"/>
          <w:szCs w:val="32"/>
          <w:lang w:val="en-US" w:eastAsia="zh-CN"/>
        </w:rPr>
        <w:t>工作水平。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科学设置绩效目标和绩效指标。</w:t>
      </w:r>
      <w:r>
        <w:rPr>
          <w:rFonts w:hint="eastAsia" w:ascii="仿宋" w:hAnsi="仿宋" w:eastAsia="仿宋" w:cs="仿宋"/>
          <w:sz w:val="32"/>
          <w:szCs w:val="32"/>
        </w:rPr>
        <w:t>绩效目标设置应参考过往年度目标及实现情况进行绩效目标的申报及设置，发挥绩效目标的指导性作用。</w:t>
      </w:r>
      <w:bookmarkStart w:id="1" w:name="_Toc25110"/>
      <w:bookmarkStart w:id="2" w:name="_Toc431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sz w:val="32"/>
          <w:szCs w:val="32"/>
          <w:highlight w:val="none"/>
          <w:lang w:val="en-US" w:eastAsia="zh-CN"/>
        </w:rPr>
        <w:t>注重过程管理，做好绩效监控。</w:t>
      </w:r>
      <w:r>
        <w:rPr>
          <w:rFonts w:hint="eastAsia" w:ascii="仿宋" w:hAnsi="仿宋" w:eastAsia="仿宋" w:cs="仿宋"/>
          <w:b w:val="0"/>
          <w:bCs w:val="0"/>
          <w:sz w:val="32"/>
          <w:szCs w:val="32"/>
          <w:lang w:val="en-US" w:eastAsia="zh-CN"/>
        </w:rPr>
        <w:t>对项目立项、执行等各阶段集体决策过程要留有痕迹，建立绩效运行跟踪监控机制，对绩效目标运行情况进行跟踪管理和督促检查。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（3）扎实开展绩效自评，强化结果应用。</w:t>
      </w:r>
      <w:r>
        <w:rPr>
          <w:rFonts w:hint="eastAsia" w:ascii="仿宋" w:hAnsi="仿宋" w:eastAsia="仿宋" w:cs="仿宋"/>
          <w:sz w:val="32"/>
          <w:szCs w:val="32"/>
          <w:lang w:val="en-US" w:eastAsia="zh-CN"/>
        </w:rPr>
        <w:t>拟定自评方案，收集绩效目标实现程度、预算执行进度等数据资料，对部门整体和项目开展评价分析，研究制订整改措施，并在以后的工作中积极改进。</w:t>
      </w:r>
    </w:p>
    <w:bookmarkEnd w:id="1"/>
    <w:bookmarkEnd w:id="2"/>
    <w:p>
      <w:pPr>
        <w:pStyle w:val="3"/>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eastAsia="zh-CN"/>
        </w:rPr>
      </w:pPr>
      <w:bookmarkStart w:id="3" w:name="_Toc6"/>
      <w:bookmarkStart w:id="4" w:name="_Toc13309"/>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rPr>
        <w:t>增强内部控制意识</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健全</w:t>
      </w:r>
      <w:r>
        <w:rPr>
          <w:rFonts w:hint="eastAsia" w:ascii="楷体" w:hAnsi="楷体" w:eastAsia="楷体" w:cs="楷体"/>
          <w:b w:val="0"/>
          <w:bCs w:val="0"/>
          <w:color w:val="auto"/>
          <w:sz w:val="32"/>
          <w:szCs w:val="32"/>
          <w:lang w:val="en-US" w:eastAsia="zh-CN"/>
        </w:rPr>
        <w:t>细化</w:t>
      </w:r>
      <w:r>
        <w:rPr>
          <w:rFonts w:hint="eastAsia" w:ascii="楷体" w:hAnsi="楷体" w:eastAsia="楷体" w:cs="楷体"/>
          <w:b w:val="0"/>
          <w:bCs w:val="0"/>
          <w:color w:val="auto"/>
          <w:sz w:val="32"/>
          <w:szCs w:val="32"/>
        </w:rPr>
        <w:t>内部</w:t>
      </w:r>
      <w:r>
        <w:rPr>
          <w:rFonts w:hint="eastAsia" w:ascii="楷体" w:hAnsi="楷体" w:eastAsia="楷体" w:cs="楷体"/>
          <w:b w:val="0"/>
          <w:bCs w:val="0"/>
          <w:color w:val="auto"/>
          <w:sz w:val="32"/>
          <w:szCs w:val="32"/>
          <w:lang w:val="en-US" w:eastAsia="zh-CN"/>
        </w:rPr>
        <w:t>管理</w:t>
      </w:r>
      <w:r>
        <w:rPr>
          <w:rFonts w:hint="eastAsia" w:ascii="楷体" w:hAnsi="楷体" w:eastAsia="楷体" w:cs="楷体"/>
          <w:b w:val="0"/>
          <w:bCs w:val="0"/>
          <w:color w:val="auto"/>
          <w:sz w:val="32"/>
          <w:szCs w:val="32"/>
        </w:rPr>
        <w:t>制度</w:t>
      </w:r>
      <w:bookmarkEnd w:id="3"/>
      <w:r>
        <w:rPr>
          <w:rFonts w:hint="eastAsia" w:ascii="楷体" w:hAnsi="楷体" w:eastAsia="楷体" w:cs="楷体"/>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健全完善资金</w:t>
      </w:r>
      <w:r>
        <w:rPr>
          <w:rFonts w:hint="eastAsia" w:ascii="仿宋" w:hAnsi="仿宋" w:eastAsia="仿宋" w:cs="仿宋"/>
          <w:color w:val="auto"/>
          <w:sz w:val="32"/>
          <w:szCs w:val="32"/>
        </w:rPr>
        <w:t>业务相关管理制度，</w:t>
      </w:r>
      <w:r>
        <w:rPr>
          <w:rFonts w:hint="eastAsia" w:ascii="仿宋" w:hAnsi="仿宋" w:eastAsia="仿宋" w:cs="仿宋"/>
          <w:color w:val="auto"/>
          <w:sz w:val="32"/>
          <w:szCs w:val="32"/>
          <w:lang w:val="en-US" w:eastAsia="zh-CN"/>
        </w:rPr>
        <w:t>明确</w:t>
      </w:r>
      <w:r>
        <w:rPr>
          <w:rFonts w:hint="eastAsia" w:ascii="仿宋" w:hAnsi="仿宋" w:eastAsia="仿宋" w:cs="仿宋"/>
          <w:color w:val="auto"/>
          <w:sz w:val="32"/>
          <w:szCs w:val="32"/>
        </w:rPr>
        <w:t>业务的决策、执行、管理、监督机构及职责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业务各管理环节控制目标及管理要求。</w:t>
      </w:r>
    </w:p>
    <w:bookmarkEnd w:id="4"/>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sz w:val="32"/>
          <w:szCs w:val="32"/>
          <w:lang w:val="en-US" w:eastAsia="zh-CN"/>
        </w:rPr>
        <w:t>夯实预算编制基础工作，提升预算精准度。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财务人员要增强编制预算的意识，与各业务股室加强沟通协作，做好零基预算，科学、合理确定预算数，提升预算精准度。</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1729D"/>
    <w:multiLevelType w:val="multilevel"/>
    <w:tmpl w:val="24A1729D"/>
    <w:lvl w:ilvl="0" w:tentative="0">
      <w:start w:val="1"/>
      <w:numFmt w:val="decimal"/>
      <w:pStyle w:val="3"/>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31CFC746"/>
    <w:multiLevelType w:val="singleLevel"/>
    <w:tmpl w:val="31CFC746"/>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TZkODNlNDUzN2U3NTg4ZDBjZTc1N2NiMWZjMTQifQ=="/>
  </w:docVars>
  <w:rsids>
    <w:rsidRoot w:val="75DC7676"/>
    <w:rsid w:val="062A4F87"/>
    <w:rsid w:val="070E2AFA"/>
    <w:rsid w:val="08DA0EE6"/>
    <w:rsid w:val="0F607C6B"/>
    <w:rsid w:val="10481FFD"/>
    <w:rsid w:val="14D7452C"/>
    <w:rsid w:val="15115C90"/>
    <w:rsid w:val="15284D87"/>
    <w:rsid w:val="15393D14"/>
    <w:rsid w:val="1BE539D2"/>
    <w:rsid w:val="1C5D5C5E"/>
    <w:rsid w:val="1CEC0D90"/>
    <w:rsid w:val="1D5E3A3C"/>
    <w:rsid w:val="1D8F1E47"/>
    <w:rsid w:val="25292B82"/>
    <w:rsid w:val="2A662182"/>
    <w:rsid w:val="2BD80E5D"/>
    <w:rsid w:val="2D620BA8"/>
    <w:rsid w:val="2D823B19"/>
    <w:rsid w:val="355D23D3"/>
    <w:rsid w:val="378105FB"/>
    <w:rsid w:val="39B07BC8"/>
    <w:rsid w:val="3E2B306F"/>
    <w:rsid w:val="43FE2FD4"/>
    <w:rsid w:val="47E863B1"/>
    <w:rsid w:val="4E510CFD"/>
    <w:rsid w:val="4EE01C53"/>
    <w:rsid w:val="54A86D6F"/>
    <w:rsid w:val="558C3DF7"/>
    <w:rsid w:val="57B36157"/>
    <w:rsid w:val="581D7A74"/>
    <w:rsid w:val="58B32187"/>
    <w:rsid w:val="5D535CE6"/>
    <w:rsid w:val="64170325"/>
    <w:rsid w:val="668313EA"/>
    <w:rsid w:val="67002A3B"/>
    <w:rsid w:val="67044C14"/>
    <w:rsid w:val="686D4100"/>
    <w:rsid w:val="6B8A4FC9"/>
    <w:rsid w:val="6BA8544F"/>
    <w:rsid w:val="6D3451EC"/>
    <w:rsid w:val="724063E2"/>
    <w:rsid w:val="756E14B8"/>
    <w:rsid w:val="75DC7676"/>
    <w:rsid w:val="768D3BBF"/>
    <w:rsid w:val="76CC5C4C"/>
    <w:rsid w:val="77B07B65"/>
    <w:rsid w:val="792A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numPr>
        <w:ilvl w:val="0"/>
        <w:numId w:val="1"/>
      </w:numPr>
      <w:spacing w:after="0"/>
      <w:ind w:left="0" w:firstLine="567" w:firstLineChars="0"/>
      <w:outlineLvl w:val="2"/>
    </w:pPr>
    <w:rPr>
      <w:rFonts w:ascii="宋体" w:hAnsi="宋体" w:cs="宋体"/>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widowControl/>
      <w:wordWrap w:val="0"/>
      <w:spacing w:after="60"/>
      <w:jc w:val="center"/>
    </w:pPr>
    <w:rPr>
      <w:sz w:val="24"/>
    </w:rPr>
  </w:style>
  <w:style w:type="paragraph" w:customStyle="1" w:styleId="10">
    <w:name w:val="Default"/>
    <w:next w:val="7"/>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3691</Words>
  <Characters>3959</Characters>
  <Lines>0</Lines>
  <Paragraphs>0</Paragraphs>
  <TotalTime>6</TotalTime>
  <ScaleCrop>false</ScaleCrop>
  <LinksUpToDate>false</LinksUpToDate>
  <CharactersWithSpaces>3973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2022-12-21T00:32:00Z</dcterms:created>
  <dc:creator>WPS_1642667985</dc:creator>
  <cp:lastModifiedBy>lenovo</cp:lastModifiedBy>
  <dcterms:modified xsi:type="dcterms:W3CDTF">2023-01-03T03:33:21Z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BC50146C6DAE4CFA89276A9F6B9EAF11</vt:lpwstr>
  </property>
</Properties>
</file>