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石龙区环境保护局大气污染防治</w:t>
      </w:r>
      <w:r>
        <w:rPr>
          <w:rFonts w:hint="eastAsia" w:ascii="黑体" w:hAnsi="黑体" w:eastAsia="黑体" w:cs="黑体"/>
          <w:sz w:val="44"/>
          <w:szCs w:val="44"/>
        </w:rPr>
        <w:t>项目</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绩效评价报告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为贯彻落实《中共中央国务院关于全面实施预算绩效管理的意见》(中发〔2018〕34 号) 和《中共河南省委河南省 人民政府关于全面实施预算绩效管理的实施意见》(豫发〔2019〕10号)等文件精神，加强财政资金绩效管理，提高资金使用效益，石龙区财政局委托第三方机构组成评价组对石龙区环境保护局大气污染防治专项资金进行绩效评价，现将有关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(一)项目实施背景</w:t>
      </w:r>
      <w:bookmarkStart w:id="18" w:name="_GoBack"/>
      <w:bookmarkEnd w:id="18"/>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highlight w:val="none"/>
          <w:lang w:val="en-US" w:eastAsia="zh-CN"/>
        </w:rPr>
      </w:pPr>
      <w:bookmarkStart w:id="0" w:name="_Toc12748"/>
      <w:bookmarkStart w:id="1" w:name="_Toc239"/>
      <w:r>
        <w:rPr>
          <w:rFonts w:hint="eastAsia" w:eastAsia="仿宋"/>
          <w:sz w:val="32"/>
          <w:szCs w:val="32"/>
          <w:highlight w:val="none"/>
          <w:lang w:val="en-US" w:eastAsia="zh-CN"/>
        </w:rPr>
        <w:t xml:space="preserve"> </w:t>
      </w:r>
      <w:r>
        <w:rPr>
          <w:rFonts w:hint="eastAsia" w:ascii="仿宋" w:hAnsi="仿宋" w:eastAsia="仿宋" w:cs="仿宋"/>
          <w:sz w:val="32"/>
          <w:szCs w:val="32"/>
          <w:highlight w:val="none"/>
          <w:lang w:val="en-US" w:eastAsia="zh-CN"/>
        </w:rPr>
        <w:t>为贯彻落实党中央、国务院和省委省政府关于深入打好污染防治攻坚战的决策部署，持续改善全省环境空气质量，深入推进2021年全省大气污染防治攻坚工作，河南省制定了《2021 年大气污染防治攻坚战实施方案》，实施细颗粒物（PM</w:t>
      </w:r>
      <w:r>
        <w:rPr>
          <w:rFonts w:hint="eastAsia" w:ascii="仿宋" w:hAnsi="仿宋" w:eastAsia="仿宋" w:cs="仿宋"/>
          <w:sz w:val="32"/>
          <w:szCs w:val="32"/>
          <w:highlight w:val="none"/>
          <w:vertAlign w:val="subscript"/>
          <w:lang w:val="en-US" w:eastAsia="zh-CN"/>
        </w:rPr>
        <w:t>2.5</w:t>
      </w:r>
      <w:r>
        <w:rPr>
          <w:rFonts w:hint="eastAsia" w:ascii="仿宋" w:hAnsi="仿宋" w:eastAsia="仿宋" w:cs="仿宋"/>
          <w:sz w:val="32"/>
          <w:szCs w:val="32"/>
          <w:highlight w:val="none"/>
          <w:lang w:val="en-US" w:eastAsia="zh-CN"/>
        </w:rPr>
        <w:t>）与臭氧（0</w:t>
      </w:r>
      <w:r>
        <w:rPr>
          <w:rFonts w:hint="eastAsia" w:ascii="仿宋" w:hAnsi="仿宋" w:eastAsia="仿宋" w:cs="仿宋"/>
          <w:sz w:val="32"/>
          <w:szCs w:val="32"/>
          <w:highlight w:val="none"/>
          <w:vertAlign w:val="subscript"/>
          <w:lang w:val="en-US" w:eastAsia="zh-CN"/>
        </w:rPr>
        <w:t>3</w:t>
      </w:r>
      <w:r>
        <w:rPr>
          <w:rFonts w:hint="eastAsia" w:ascii="仿宋" w:hAnsi="仿宋" w:eastAsia="仿宋" w:cs="仿宋"/>
          <w:sz w:val="32"/>
          <w:szCs w:val="32"/>
          <w:highlight w:val="none"/>
          <w:lang w:val="en-US" w:eastAsia="zh-CN"/>
        </w:rPr>
        <w:t>）协同控制，强化挥发性有机物和氮氧化物协同治理，为“十四五”生态环境保护开好局、起好步。</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(二)项目主要实施内容</w:t>
      </w:r>
    </w:p>
    <w:bookmarkEnd w:id="0"/>
    <w:bookmarkEnd w:id="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2021年石龙区</w:t>
      </w:r>
      <w:r>
        <w:rPr>
          <w:rFonts w:hint="eastAsia" w:ascii="仿宋" w:hAnsi="仿宋" w:eastAsia="仿宋" w:cs="仿宋"/>
          <w:color w:val="auto"/>
          <w:sz w:val="32"/>
          <w:szCs w:val="32"/>
          <w:highlight w:val="none"/>
          <w:lang w:val="en-US" w:eastAsia="zh-CN"/>
        </w:rPr>
        <w:t>环境保护局大气污染防治项目计划</w:t>
      </w:r>
      <w:r>
        <w:rPr>
          <w:rFonts w:hint="eastAsia" w:ascii="仿宋" w:hAnsi="仿宋" w:eastAsia="仿宋" w:cs="仿宋"/>
          <w:sz w:val="32"/>
          <w:szCs w:val="32"/>
          <w:highlight w:val="none"/>
          <w:lang w:val="en-US" w:eastAsia="zh-CN"/>
        </w:rPr>
        <w:t>实施内容包括：采</w:t>
      </w:r>
      <w:r>
        <w:rPr>
          <w:rFonts w:hint="eastAsia" w:ascii="仿宋" w:hAnsi="仿宋" w:eastAsia="仿宋" w:cs="仿宋"/>
          <w:sz w:val="32"/>
          <w:szCs w:val="32"/>
          <w:lang w:val="en-US" w:eastAsia="zh-CN"/>
        </w:rPr>
        <w:t>购大气攻坚专项设备300万元，采购自动监测点位优化和空气质量研判分析技术服务178.5万元，采购空气自动监测站设备28.6万元，列支大气污染防治核查工作经费40万元，列支环保攻坚工作运转经费1万元，计划项目资金预算总计548.1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(三)资金投入和使用情况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项目财政</w:t>
      </w:r>
      <w:r>
        <w:rPr>
          <w:rFonts w:hint="eastAsia" w:ascii="仿宋" w:hAnsi="仿宋" w:eastAsia="仿宋" w:cs="仿宋"/>
          <w:sz w:val="32"/>
          <w:szCs w:val="32"/>
        </w:rPr>
        <w:t>资金投入：</w:t>
      </w:r>
      <w:r>
        <w:rPr>
          <w:rFonts w:hint="eastAsia" w:ascii="仿宋" w:hAnsi="仿宋" w:eastAsia="仿宋" w:cs="仿宋"/>
          <w:sz w:val="32"/>
          <w:szCs w:val="32"/>
          <w:lang w:val="en-US" w:eastAsia="zh-CN"/>
        </w:rPr>
        <w:t>526.27619</w:t>
      </w:r>
      <w:r>
        <w:rPr>
          <w:rFonts w:hint="eastAsia" w:ascii="仿宋" w:hAnsi="仿宋" w:eastAsia="仿宋" w:cs="仿宋"/>
          <w:sz w:val="32"/>
          <w:szCs w:val="32"/>
          <w:highlight w:val="none"/>
        </w:rPr>
        <w:t>万</w:t>
      </w:r>
      <w:r>
        <w:rPr>
          <w:rFonts w:hint="eastAsia" w:ascii="仿宋" w:hAnsi="仿宋" w:eastAsia="仿宋" w:cs="仿宋"/>
          <w:sz w:val="32"/>
          <w:szCs w:val="32"/>
          <w:highlight w:val="none"/>
          <w:lang w:eastAsia="zh-CN"/>
        </w:rPr>
        <w:t>元</w:t>
      </w:r>
      <w:r>
        <w:rPr>
          <w:rFonts w:hint="eastAsia" w:ascii="仿宋" w:hAnsi="仿宋" w:eastAsia="仿宋" w:cs="仿宋"/>
          <w:sz w:val="32"/>
          <w:szCs w:val="32"/>
        </w:rPr>
        <w:t>。</w:t>
      </w:r>
      <w:r>
        <w:rPr>
          <w:rFonts w:hint="eastAsia" w:ascii="仿宋" w:hAnsi="仿宋" w:eastAsia="仿宋" w:cs="仿宋"/>
          <w:sz w:val="32"/>
          <w:szCs w:val="32"/>
          <w:lang w:val="en-US" w:eastAsia="zh-CN"/>
        </w:rPr>
        <w:t>明细为：①采购自动监测点位优化和空气质量研判分析技术服务178.5万元；②采购空气自动监测站设备28.6万元；③大气污染防治核查工作经费18.57719万元；④环保攻坚工作运转经费0.599万元；⑤2022年3月支付石龙区城市管理局采购大气攻坚专项设备300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二、绩效评价工作开展情况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次评价目的是了解财政资金使用情况和取得的效果，提高财政资源配置效率和使用效益。促使项目主管部门、实施单位根据绩效评价中发现的问题，及时调整和完善工作计划和绩效目标，为后续资金投入、分配和管理提供决策依据。通过</w:t>
      </w:r>
      <w:r>
        <w:rPr>
          <w:rFonts w:hint="eastAsia" w:ascii="仿宋" w:hAnsi="仿宋" w:eastAsia="仿宋" w:cs="仿宋"/>
          <w:kern w:val="0"/>
          <w:sz w:val="32"/>
          <w:szCs w:val="32"/>
          <w:lang w:val="en-US" w:eastAsia="zh-CN"/>
        </w:rPr>
        <w:t>决策、过程、成本、产出、效益五部分对项目实施效果进行评价。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(二)绩效评价原则、方法和标准及指标体系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次绩效评价原则：坚持真实、科学、公正的原则；坚持综合绩效评价的原则；坚持定量分析与定性分析的原则；坚持绩效评价与项目支出管理相结合的原则。本次采取比较法、因素分析法、公众评判法相结合的评价方法开展评价工作。采取计划标准、行业标准和历史标准相结合的评价标准开展评价工作，衡量财政支出绩效目标完成程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default" w:ascii="仿宋" w:hAnsi="仿宋" w:eastAsia="仿宋" w:cs="仿宋"/>
          <w:sz w:val="32"/>
          <w:szCs w:val="32"/>
          <w:lang w:val="en-US" w:eastAsia="zh-CN"/>
        </w:rPr>
        <w:t>本次评价指标体系根据</w:t>
      </w:r>
      <w:r>
        <w:rPr>
          <w:rFonts w:hint="eastAsia" w:ascii="仿宋" w:hAnsi="仿宋" w:eastAsia="仿宋" w:cs="仿宋"/>
          <w:sz w:val="32"/>
          <w:szCs w:val="32"/>
          <w:highlight w:val="none"/>
          <w:lang w:val="zh-CN"/>
        </w:rPr>
        <w:t>石龙区财政局《关于开展202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val="zh-CN"/>
        </w:rPr>
        <w:t>年度</w:t>
      </w:r>
      <w:r>
        <w:rPr>
          <w:rFonts w:hint="eastAsia" w:ascii="仿宋" w:hAnsi="仿宋" w:eastAsia="仿宋" w:cs="仿宋"/>
          <w:sz w:val="32"/>
          <w:szCs w:val="32"/>
          <w:highlight w:val="none"/>
          <w:lang w:val="en-US" w:eastAsia="zh-CN"/>
        </w:rPr>
        <w:t>区级重点项目及部门整体绩效评价工作</w:t>
      </w:r>
      <w:r>
        <w:rPr>
          <w:rFonts w:hint="eastAsia" w:ascii="仿宋" w:hAnsi="仿宋" w:eastAsia="仿宋" w:cs="仿宋"/>
          <w:sz w:val="32"/>
          <w:szCs w:val="32"/>
          <w:highlight w:val="none"/>
          <w:lang w:val="zh-CN"/>
        </w:rPr>
        <w:t>的通知》</w:t>
      </w:r>
      <w:r>
        <w:rPr>
          <w:rFonts w:hint="default" w:ascii="仿宋" w:hAnsi="仿宋" w:eastAsia="仿宋" w:cs="仿宋"/>
          <w:sz w:val="32"/>
          <w:szCs w:val="32"/>
          <w:lang w:val="en-US" w:eastAsia="zh-CN"/>
        </w:rPr>
        <w:t>，本项目绩效评价指标体系共设置</w:t>
      </w:r>
      <w:r>
        <w:rPr>
          <w:rFonts w:hint="eastAsia" w:ascii="仿宋" w:hAnsi="仿宋" w:eastAsia="仿宋" w:cs="仿宋"/>
          <w:color w:val="000000" w:themeColor="text1"/>
          <w:sz w:val="32"/>
          <w:szCs w:val="32"/>
          <w:highlight w:val="none"/>
          <w14:textFill>
            <w14:solidFill>
              <w14:schemeClr w14:val="tx1"/>
            </w14:solidFill>
          </w14:textFill>
        </w:rPr>
        <w:t>一级指标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个，二级指标1</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个，三级指标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27</w:t>
      </w:r>
      <w:r>
        <w:rPr>
          <w:rFonts w:hint="eastAsia" w:ascii="仿宋" w:hAnsi="仿宋" w:eastAsia="仿宋" w:cs="仿宋"/>
          <w:color w:val="000000" w:themeColor="text1"/>
          <w:sz w:val="32"/>
          <w:szCs w:val="32"/>
          <w:highlight w:val="none"/>
          <w14:textFill>
            <w14:solidFill>
              <w14:schemeClr w14:val="tx1"/>
            </w14:solidFill>
          </w14:textFill>
        </w:rPr>
        <w:t>个，指标权重自上而下按指标层次分步确定权重，决策指标、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过程</w:t>
      </w:r>
      <w:r>
        <w:rPr>
          <w:rFonts w:hint="eastAsia" w:ascii="仿宋" w:hAnsi="仿宋" w:eastAsia="仿宋" w:cs="仿宋"/>
          <w:color w:val="000000" w:themeColor="text1"/>
          <w:sz w:val="32"/>
          <w:szCs w:val="32"/>
          <w:highlight w:val="none"/>
          <w14:textFill>
            <w14:solidFill>
              <w14:schemeClr w14:val="tx1"/>
            </w14:solidFill>
          </w14:textFill>
        </w:rPr>
        <w:t>指标、</w:t>
      </w:r>
      <w:r>
        <w:rPr>
          <w:rFonts w:hint="eastAsia" w:ascii="仿宋" w:hAnsi="仿宋" w:eastAsia="仿宋" w:cs="仿宋"/>
          <w:color w:val="000000" w:themeColor="text1"/>
          <w:sz w:val="32"/>
          <w:szCs w:val="32"/>
          <w:highlight w:val="none"/>
          <w:lang w:eastAsia="zh-CN"/>
          <w14:textFill>
            <w14:solidFill>
              <w14:schemeClr w14:val="tx1"/>
            </w14:solidFill>
          </w14:textFill>
        </w:rPr>
        <w:t>成本指标、</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产出指标、效益指标分值依次为10分、20分、10分、30分、30分。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(三)绩效评价工作过程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sz w:val="32"/>
          <w:szCs w:val="32"/>
          <w:lang w:val="en-US" w:eastAsia="zh-CN"/>
        </w:rPr>
        <w:t>石龙区环境保护局大气污染防治项目</w:t>
      </w:r>
      <w:r>
        <w:rPr>
          <w:rFonts w:hint="eastAsia" w:ascii="仿宋" w:hAnsi="仿宋" w:eastAsia="仿宋" w:cs="仿宋"/>
          <w:sz w:val="32"/>
          <w:szCs w:val="32"/>
        </w:rPr>
        <w:t>自评价工作组成立以来，</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历经前期准备、指标体系及方案设计、实地调研、数据整理、评价实施、报告撰写等阶段。在此基础上，按要求形成初步评价报告，并根据相关部门、专家意见进行修改完善，形成最终绩效评价报告。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三、综合评价情况及评价结论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(一)综合评价情况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综合评价项目实施情况，本项目总体实施效果良好。项目通过石龙区环境保护局的组织实施</w:t>
      </w:r>
      <w:r>
        <w:rPr>
          <w:rFonts w:hint="default" w:ascii="仿宋" w:hAnsi="仿宋" w:eastAsia="仿宋" w:cs="仿宋"/>
          <w:bCs/>
          <w:kern w:val="0"/>
          <w:sz w:val="32"/>
          <w:szCs w:val="32"/>
          <w:lang w:val="en-US" w:eastAsia="zh-CN"/>
        </w:rPr>
        <w:t>和财政资金的</w:t>
      </w:r>
      <w:r>
        <w:rPr>
          <w:rFonts w:hint="eastAsia" w:ascii="仿宋" w:hAnsi="仿宋" w:eastAsia="仿宋" w:cs="仿宋"/>
          <w:bCs/>
          <w:kern w:val="0"/>
          <w:sz w:val="32"/>
          <w:szCs w:val="32"/>
          <w:lang w:val="en-US" w:eastAsia="zh-CN"/>
        </w:rPr>
        <w:t>支持</w:t>
      </w:r>
      <w:r>
        <w:rPr>
          <w:rFonts w:hint="default" w:ascii="仿宋" w:hAnsi="仿宋" w:eastAsia="仿宋" w:cs="仿宋"/>
          <w:bCs/>
          <w:kern w:val="0"/>
          <w:sz w:val="32"/>
          <w:szCs w:val="32"/>
          <w:lang w:val="en-US" w:eastAsia="zh-CN"/>
        </w:rPr>
        <w:t>，</w:t>
      </w:r>
      <w:r>
        <w:rPr>
          <w:rFonts w:hint="eastAsia" w:ascii="仿宋" w:hAnsi="仿宋" w:eastAsia="仿宋" w:cs="仿宋"/>
          <w:bCs/>
          <w:kern w:val="0"/>
          <w:sz w:val="32"/>
          <w:szCs w:val="32"/>
          <w:lang w:val="en-US" w:eastAsia="zh-CN"/>
        </w:rPr>
        <w:t>深入推进石龙区大气污染防治攻坚工作，一定程度上提高了大气污染防治能力，为改善石龙区空气质量奠定了基础。但项目存在绩效目标不明确、制度执行力度不足、监督管控不力等问题。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 w:hAnsi="楷体" w:eastAsia="楷体" w:cs="楷体"/>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仿宋" w:hAnsi="仿宋" w:eastAsia="仿宋" w:cs="仿宋"/>
          <w:sz w:val="32"/>
          <w:szCs w:val="32"/>
          <w:highlight w:val="none"/>
        </w:rPr>
      </w:pPr>
      <w:r>
        <w:rPr>
          <w:rFonts w:hint="eastAsia" w:ascii="仿宋" w:hAnsi="仿宋" w:eastAsia="仿宋" w:cs="仿宋"/>
          <w:bCs/>
          <w:kern w:val="0"/>
          <w:sz w:val="32"/>
          <w:szCs w:val="32"/>
        </w:rPr>
        <w:t>依据</w:t>
      </w:r>
      <w:r>
        <w:rPr>
          <w:rFonts w:hint="eastAsia" w:ascii="仿宋" w:hAnsi="仿宋" w:eastAsia="仿宋" w:cs="仿宋"/>
          <w:bCs/>
          <w:kern w:val="0"/>
          <w:sz w:val="32"/>
          <w:szCs w:val="32"/>
          <w:lang w:val="en-US" w:eastAsia="zh-CN"/>
        </w:rPr>
        <w:t>平顶山市石龙区环境保护局大气污染防治项目</w:t>
      </w:r>
      <w:r>
        <w:rPr>
          <w:rFonts w:hint="eastAsia" w:ascii="仿宋" w:hAnsi="仿宋" w:eastAsia="仿宋" w:cs="仿宋"/>
          <w:bCs/>
          <w:kern w:val="0"/>
          <w:sz w:val="32"/>
          <w:szCs w:val="32"/>
        </w:rPr>
        <w:t>绩效评价指标体系，评价组对</w:t>
      </w:r>
      <w:r>
        <w:rPr>
          <w:rFonts w:hint="eastAsia" w:ascii="仿宋" w:hAnsi="仿宋" w:eastAsia="仿宋" w:cs="仿宋"/>
          <w:bCs/>
          <w:kern w:val="0"/>
          <w:sz w:val="32"/>
          <w:szCs w:val="32"/>
          <w:lang w:val="en-US" w:eastAsia="zh-CN"/>
        </w:rPr>
        <w:t>石龙区环境保护局大气污染防治项目</w:t>
      </w:r>
      <w:r>
        <w:rPr>
          <w:rFonts w:hint="eastAsia" w:ascii="仿宋" w:hAnsi="仿宋" w:eastAsia="仿宋" w:cs="仿宋"/>
          <w:bCs/>
          <w:kern w:val="0"/>
          <w:sz w:val="32"/>
          <w:szCs w:val="32"/>
        </w:rPr>
        <w:t>进行打分，最终</w:t>
      </w:r>
      <w:r>
        <w:rPr>
          <w:rFonts w:hint="eastAsia" w:ascii="仿宋" w:hAnsi="仿宋" w:eastAsia="仿宋" w:cs="仿宋"/>
          <w:bCs/>
          <w:kern w:val="0"/>
          <w:sz w:val="32"/>
          <w:szCs w:val="32"/>
          <w:highlight w:val="none"/>
        </w:rPr>
        <w:t>得分为</w:t>
      </w:r>
      <w:r>
        <w:rPr>
          <w:rFonts w:hint="eastAsia" w:ascii="仿宋" w:hAnsi="仿宋" w:eastAsia="仿宋" w:cs="仿宋"/>
          <w:b/>
          <w:bCs w:val="0"/>
          <w:sz w:val="32"/>
          <w:szCs w:val="32"/>
          <w:highlight w:val="none"/>
          <w:u w:val="single"/>
        </w:rPr>
        <w:t xml:space="preserve"> </w:t>
      </w:r>
      <w:r>
        <w:rPr>
          <w:rFonts w:hint="eastAsia" w:ascii="仿宋" w:hAnsi="仿宋" w:eastAsia="仿宋" w:cs="仿宋"/>
          <w:b/>
          <w:bCs w:val="0"/>
          <w:sz w:val="32"/>
          <w:szCs w:val="32"/>
          <w:highlight w:val="none"/>
          <w:u w:val="single"/>
          <w:lang w:val="en-US" w:eastAsia="zh-CN"/>
        </w:rPr>
        <w:t xml:space="preserve">83.19 </w:t>
      </w:r>
      <w:r>
        <w:rPr>
          <w:rFonts w:hint="eastAsia" w:ascii="仿宋" w:hAnsi="仿宋" w:eastAsia="仿宋" w:cs="仿宋"/>
          <w:bCs/>
          <w:kern w:val="0"/>
          <w:sz w:val="32"/>
          <w:szCs w:val="32"/>
          <w:highlight w:val="none"/>
        </w:rPr>
        <w:t>分</w:t>
      </w:r>
      <w:r>
        <w:rPr>
          <w:rFonts w:hint="eastAsia" w:ascii="仿宋" w:hAnsi="仿宋" w:eastAsia="仿宋" w:cs="仿宋"/>
          <w:color w:val="000000"/>
          <w:kern w:val="0"/>
          <w:sz w:val="32"/>
          <w:szCs w:val="32"/>
          <w:highlight w:val="none"/>
          <w:lang w:bidi="ar"/>
        </w:rPr>
        <w:t>。</w:t>
      </w:r>
      <w:bookmarkStart w:id="2" w:name="_Toc48753019"/>
      <w:bookmarkEnd w:id="2"/>
      <w:bookmarkStart w:id="3" w:name="_Toc48585674"/>
      <w:bookmarkEnd w:id="3"/>
      <w:bookmarkStart w:id="4" w:name="_Toc48557408"/>
      <w:bookmarkEnd w:id="4"/>
      <w:bookmarkStart w:id="5" w:name="_Toc50637144"/>
      <w:bookmarkEnd w:id="5"/>
      <w:bookmarkStart w:id="6" w:name="_Toc48753738"/>
      <w:bookmarkEnd w:id="6"/>
      <w:bookmarkStart w:id="7" w:name="_Toc54733591"/>
      <w:bookmarkEnd w:id="7"/>
      <w:bookmarkStart w:id="8" w:name="_Toc56361316"/>
      <w:bookmarkEnd w:id="8"/>
      <w:bookmarkStart w:id="9" w:name="_Toc48638537"/>
      <w:bookmarkEnd w:id="9"/>
      <w:bookmarkStart w:id="10" w:name="_Toc48585916"/>
      <w:bookmarkEnd w:id="10"/>
      <w:bookmarkStart w:id="11" w:name="_Toc48557775"/>
      <w:bookmarkEnd w:id="11"/>
      <w:r>
        <w:rPr>
          <w:rFonts w:hint="eastAsia" w:ascii="仿宋" w:hAnsi="仿宋" w:eastAsia="仿宋" w:cs="仿宋"/>
          <w:sz w:val="32"/>
          <w:szCs w:val="32"/>
          <w:highlight w:val="none"/>
        </w:rPr>
        <w:t>参照</w:t>
      </w:r>
      <w:r>
        <w:rPr>
          <w:rFonts w:hint="eastAsia" w:ascii="仿宋" w:hAnsi="仿宋" w:eastAsia="仿宋" w:cs="仿宋"/>
          <w:sz w:val="32"/>
          <w:szCs w:val="32"/>
          <w:lang w:val="zh-CN"/>
        </w:rPr>
        <w:t>平顶山市</w:t>
      </w:r>
      <w:r>
        <w:rPr>
          <w:rFonts w:hint="eastAsia" w:ascii="仿宋" w:hAnsi="仿宋" w:eastAsia="仿宋" w:cs="仿宋"/>
          <w:sz w:val="32"/>
          <w:szCs w:val="32"/>
          <w:lang w:val="en-US" w:eastAsia="zh-CN"/>
        </w:rPr>
        <w:t>石龙区财政局</w:t>
      </w:r>
      <w:r>
        <w:rPr>
          <w:rFonts w:hint="eastAsia" w:ascii="仿宋" w:hAnsi="仿宋" w:eastAsia="仿宋" w:cs="仿宋"/>
          <w:sz w:val="32"/>
          <w:szCs w:val="32"/>
          <w:lang w:val="zh-CN"/>
        </w:rPr>
        <w:t>《关于印发&lt;</w:t>
      </w:r>
      <w:r>
        <w:rPr>
          <w:rFonts w:hint="eastAsia" w:ascii="仿宋" w:hAnsi="仿宋" w:eastAsia="仿宋" w:cs="仿宋"/>
          <w:sz w:val="32"/>
          <w:szCs w:val="32"/>
          <w:lang w:val="en-US" w:eastAsia="zh-CN"/>
        </w:rPr>
        <w:t>平顶山市石龙区预算绩效管理办法&gt;等6个办法的通知</w:t>
      </w:r>
      <w:r>
        <w:rPr>
          <w:rFonts w:hint="eastAsia" w:ascii="仿宋" w:hAnsi="仿宋" w:eastAsia="仿宋" w:cs="仿宋"/>
          <w:sz w:val="32"/>
          <w:szCs w:val="32"/>
          <w:lang w:val="zh-CN"/>
        </w:rPr>
        <w:t>》</w:t>
      </w:r>
      <w:r>
        <w:rPr>
          <w:rFonts w:hint="eastAsia" w:ascii="仿宋" w:hAnsi="仿宋" w:eastAsia="仿宋" w:cs="仿宋"/>
          <w:sz w:val="32"/>
          <w:szCs w:val="32"/>
          <w:highlight w:val="none"/>
        </w:rPr>
        <w:t>有关规定，绩效评价结果等级为“</w:t>
      </w:r>
      <w:r>
        <w:rPr>
          <w:rFonts w:hint="eastAsia" w:ascii="仿宋" w:hAnsi="仿宋" w:eastAsia="仿宋" w:cs="仿宋"/>
          <w:b/>
          <w:bCs/>
          <w:sz w:val="32"/>
          <w:szCs w:val="32"/>
          <w:highlight w:val="none"/>
          <w:u w:val="single"/>
        </w:rPr>
        <w:t xml:space="preserve"> </w:t>
      </w:r>
      <w:r>
        <w:rPr>
          <w:rFonts w:hint="eastAsia" w:ascii="仿宋" w:hAnsi="仿宋" w:eastAsia="仿宋" w:cs="仿宋"/>
          <w:b/>
          <w:bCs/>
          <w:sz w:val="32"/>
          <w:szCs w:val="32"/>
          <w:highlight w:val="none"/>
          <w:u w:val="single"/>
          <w:lang w:val="en-US" w:eastAsia="zh-CN"/>
        </w:rPr>
        <w:t xml:space="preserve">  良   </w:t>
      </w:r>
      <w:r>
        <w:rPr>
          <w:rFonts w:hint="eastAsia" w:ascii="仿宋" w:hAnsi="仿宋" w:eastAsia="仿宋" w:cs="仿宋"/>
          <w:sz w:val="32"/>
          <w:szCs w:val="32"/>
          <w:highlight w:val="none"/>
        </w:rPr>
        <w:t>”。</w:t>
      </w:r>
    </w:p>
    <w:tbl>
      <w:tblPr>
        <w:tblStyle w:val="12"/>
        <w:tblpPr w:leftFromText="180" w:rightFromText="180" w:vertAnchor="text" w:horzAnchor="page" w:tblpXSpec="center" w:tblpY="38"/>
        <w:tblOverlap w:val="never"/>
        <w:tblW w:w="87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1374"/>
        <w:gridCol w:w="1297"/>
        <w:gridCol w:w="1328"/>
        <w:gridCol w:w="1328"/>
        <w:gridCol w:w="1265"/>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07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指标</w:t>
            </w:r>
          </w:p>
        </w:tc>
        <w:tc>
          <w:tcPr>
            <w:tcW w:w="1374"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项目决策</w:t>
            </w:r>
          </w:p>
        </w:tc>
        <w:tc>
          <w:tcPr>
            <w:tcW w:w="1297"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eastAsia="zh-CN"/>
              </w:rPr>
            </w:pPr>
            <w:r>
              <w:rPr>
                <w:rFonts w:hint="eastAsia" w:ascii="仿宋" w:hAnsi="仿宋" w:eastAsia="仿宋" w:cs="仿宋"/>
                <w:i w:val="0"/>
                <w:iCs w:val="0"/>
                <w:color w:val="000000"/>
                <w:kern w:val="0"/>
                <w:sz w:val="24"/>
                <w:szCs w:val="24"/>
                <w:u w:val="none"/>
                <w:lang w:val="en-US" w:eastAsia="zh-CN" w:bidi="ar"/>
              </w:rPr>
              <w:t>项目过程</w:t>
            </w:r>
          </w:p>
        </w:tc>
        <w:tc>
          <w:tcPr>
            <w:tcW w:w="132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项目成本</w:t>
            </w:r>
          </w:p>
        </w:tc>
        <w:tc>
          <w:tcPr>
            <w:tcW w:w="132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项目产出</w:t>
            </w:r>
          </w:p>
        </w:tc>
        <w:tc>
          <w:tcPr>
            <w:tcW w:w="126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项目效益</w:t>
            </w:r>
          </w:p>
        </w:tc>
        <w:tc>
          <w:tcPr>
            <w:tcW w:w="107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07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赋分</w:t>
            </w:r>
          </w:p>
        </w:tc>
        <w:tc>
          <w:tcPr>
            <w:tcW w:w="1374"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297"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20</w:t>
            </w:r>
          </w:p>
        </w:tc>
        <w:tc>
          <w:tcPr>
            <w:tcW w:w="132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328"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30</w:t>
            </w:r>
          </w:p>
        </w:tc>
        <w:tc>
          <w:tcPr>
            <w:tcW w:w="126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30</w:t>
            </w:r>
          </w:p>
        </w:tc>
        <w:tc>
          <w:tcPr>
            <w:tcW w:w="107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07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得分</w:t>
            </w:r>
          </w:p>
        </w:tc>
        <w:tc>
          <w:tcPr>
            <w:tcW w:w="1374"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5.5</w:t>
            </w:r>
          </w:p>
        </w:tc>
        <w:tc>
          <w:tcPr>
            <w:tcW w:w="1297"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15.88</w:t>
            </w:r>
          </w:p>
        </w:tc>
        <w:tc>
          <w:tcPr>
            <w:tcW w:w="1328"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328"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26.81</w:t>
            </w:r>
          </w:p>
        </w:tc>
        <w:tc>
          <w:tcPr>
            <w:tcW w:w="1265"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25</w:t>
            </w:r>
          </w:p>
        </w:tc>
        <w:tc>
          <w:tcPr>
            <w:tcW w:w="1075" w:type="dxa"/>
            <w:noWrap/>
            <w:vAlign w:val="center"/>
          </w:tcPr>
          <w:p>
            <w:pPr>
              <w:keepNext w:val="0"/>
              <w:keepLines w:val="0"/>
              <w:widowControl/>
              <w:suppressLineNumbers w:val="0"/>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83.19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7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rPr>
            </w:pPr>
            <w:r>
              <w:rPr>
                <w:rFonts w:hint="eastAsia" w:ascii="仿宋" w:hAnsi="仿宋" w:eastAsia="仿宋" w:cs="仿宋"/>
                <w:i w:val="0"/>
                <w:iCs w:val="0"/>
                <w:color w:val="000000"/>
                <w:kern w:val="0"/>
                <w:sz w:val="24"/>
                <w:szCs w:val="24"/>
                <w:u w:val="none"/>
                <w:lang w:val="en-US" w:eastAsia="zh-CN" w:bidi="ar"/>
              </w:rPr>
              <w:t>得分率</w:t>
            </w:r>
          </w:p>
        </w:tc>
        <w:tc>
          <w:tcPr>
            <w:tcW w:w="1374"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55.00%</w:t>
            </w:r>
          </w:p>
        </w:tc>
        <w:tc>
          <w:tcPr>
            <w:tcW w:w="1297"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79.40%</w:t>
            </w:r>
          </w:p>
        </w:tc>
        <w:tc>
          <w:tcPr>
            <w:tcW w:w="132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100.00%</w:t>
            </w:r>
          </w:p>
        </w:tc>
        <w:tc>
          <w:tcPr>
            <w:tcW w:w="1328"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89.37%</w:t>
            </w:r>
          </w:p>
        </w:tc>
        <w:tc>
          <w:tcPr>
            <w:tcW w:w="126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83.33%</w:t>
            </w:r>
          </w:p>
        </w:tc>
        <w:tc>
          <w:tcPr>
            <w:tcW w:w="1075" w:type="dxa"/>
            <w:noWrap/>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iCs w:val="0"/>
                <w:color w:val="000000"/>
                <w:kern w:val="0"/>
                <w:sz w:val="24"/>
                <w:szCs w:val="24"/>
                <w:u w:val="none"/>
                <w:lang w:val="en-US" w:eastAsia="zh-CN" w:bidi="ar"/>
              </w:rPr>
              <w:t>83.19%</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bookmarkStart w:id="12" w:name="_Toc27207"/>
      <w:bookmarkStart w:id="13" w:name="_Toc12081"/>
      <w:bookmarkStart w:id="14" w:name="_Toc19310"/>
      <w:bookmarkStart w:id="15" w:name="_Toc82075021"/>
      <w:bookmarkStart w:id="16" w:name="_Toc21885"/>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四、绩效评价指标分析</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 项目决策情况：</w:t>
      </w:r>
      <w:r>
        <w:rPr>
          <w:rFonts w:hint="eastAsia" w:ascii="仿宋" w:hAnsi="仿宋" w:eastAsia="仿宋" w:cs="仿宋"/>
          <w:sz w:val="32"/>
          <w:szCs w:val="32"/>
          <w:lang w:val="en-US" w:eastAsia="zh-CN"/>
        </w:rPr>
        <w:t>1.项目立项指标分值2分，得2分。其中立项依据充分得1分，立项程序规范性得1分。2.绩效管理指标分值4分，得1分。其中绩效目标合理性得1分，绩效目标明确性得0分。3.资金投入指标分值4分，得2.5分，其中预算编制科学性得0.5分，资金分配合理性得2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（二）项目过程情况：</w:t>
      </w:r>
      <w:r>
        <w:rPr>
          <w:rFonts w:hint="eastAsia" w:ascii="仿宋" w:hAnsi="仿宋" w:eastAsia="仿宋" w:cs="仿宋"/>
          <w:kern w:val="2"/>
          <w:sz w:val="32"/>
          <w:szCs w:val="32"/>
          <w:lang w:val="en-US" w:eastAsia="zh-CN" w:bidi="ar-SA"/>
        </w:rPr>
        <w:t>1.资金管理指标分值10分，得9.88分。其中资金到位率得3分；预算执行率得2.88分；资金使用合规性得4分。2.组织实施指标分值10分，得6分。其中管理制度健全性得2分；制度执行有效性得2分；预算主管单位监控有效性得2分。</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（三）项目成本情况：</w:t>
      </w:r>
      <w:r>
        <w:rPr>
          <w:rFonts w:hint="eastAsia" w:ascii="仿宋" w:hAnsi="仿宋" w:eastAsia="仿宋" w:cs="仿宋"/>
          <w:kern w:val="2"/>
          <w:sz w:val="32"/>
          <w:szCs w:val="32"/>
          <w:lang w:val="en-US" w:eastAsia="zh-CN" w:bidi="ar-SA"/>
        </w:rPr>
        <w:t>经济成本指标分值10分，得10分。其中大气攻坚专项设备支出得2分；自动监测点位优化和空气质量研判分析技术服务支出得2分；空气自动监测站设备支出得2分；考核区域大气污染防治核查工作2分；环保攻坚工作运转支出得2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（四）项目产出情况：</w:t>
      </w:r>
      <w:r>
        <w:rPr>
          <w:rFonts w:hint="eastAsia" w:ascii="仿宋" w:hAnsi="仿宋" w:eastAsia="仿宋" w:cs="仿宋"/>
          <w:kern w:val="2"/>
          <w:sz w:val="32"/>
          <w:szCs w:val="32"/>
          <w:lang w:val="en-US" w:eastAsia="zh-CN" w:bidi="ar-SA"/>
        </w:rPr>
        <w:t>1.产出数量指标分值10分，得9.5分。其中项目设备及技术服务采购、核查及环保攻坚运转得9.5分。2.产出质量指标分值10分，得7.31分。其中质量达标率得5分；项目实施效果得4.31分。3.产出时效指标分值10分，得10分。其中项目完成及时性得10分。</w:t>
      </w:r>
    </w:p>
    <w:p>
      <w:pPr>
        <w:pStyle w:val="2"/>
        <w:keepNext w:val="0"/>
        <w:keepLines w:val="0"/>
        <w:pageBreakBefore w:val="0"/>
        <w:widowControl w:val="0"/>
        <w:kinsoku/>
        <w:wordWrap/>
        <w:overflowPunct/>
        <w:topLinePunct w:val="0"/>
        <w:autoSpaceDE/>
        <w:autoSpaceDN/>
        <w:bidi w:val="0"/>
        <w:spacing w:after="0" w:line="600" w:lineRule="exact"/>
        <w:ind w:firstLine="640" w:firstLineChars="200"/>
        <w:rPr>
          <w:rFonts w:hint="eastAsia"/>
          <w:lang w:val="en-US" w:eastAsia="zh-CN"/>
        </w:rPr>
      </w:pPr>
      <w:r>
        <w:rPr>
          <w:rFonts w:hint="eastAsia" w:ascii="楷体" w:hAnsi="楷体" w:eastAsia="楷体" w:cs="楷体"/>
          <w:kern w:val="2"/>
          <w:sz w:val="32"/>
          <w:szCs w:val="32"/>
          <w:lang w:val="en-US" w:eastAsia="zh-CN" w:bidi="ar-SA"/>
        </w:rPr>
        <w:t>（五）项目效益情况：</w:t>
      </w:r>
      <w:r>
        <w:rPr>
          <w:rFonts w:hint="eastAsia" w:ascii="仿宋" w:hAnsi="仿宋" w:eastAsia="仿宋" w:cs="仿宋"/>
          <w:kern w:val="2"/>
          <w:sz w:val="32"/>
          <w:szCs w:val="32"/>
          <w:lang w:val="en-US" w:eastAsia="zh-CN" w:bidi="ar-SA"/>
        </w:rPr>
        <w:t>1.经济效益指标分值5分，得5分，其中减少大气污染带来的经济损失得5分。2.生态效益指标分值5分，得0分，其中提升空气质量得0分。3.社会效益指标分值5分，得5分。其中减少大气污染投诉事件得5分。4.满意度指标分值10分，得10分。其中社会公众满意度得10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五、存在的问题及原因分析</w:t>
      </w:r>
    </w:p>
    <w:bookmarkEnd w:id="12"/>
    <w:bookmarkEnd w:id="13"/>
    <w:bookmarkEnd w:id="14"/>
    <w:bookmarkEnd w:id="15"/>
    <w:bookmarkEnd w:id="16"/>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绩效目标不明确，不能与任务目标相对应。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项目绩效目标部分不能分解为具体绩效指标；未达到清晰可衡量的效果，且与项目目标任务数不能一一对应。</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left="0" w:leftChars="0" w:firstLine="420" w:firstLineChars="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预算编制不科学，资金分配缺乏时效性。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预算资金为320万元与项目资金548.1万元不匹配，采购大气攻坚专项设备、大气污染防治核查工作等未包含在预算内容中；且项目单位于2021年12月30日收到大气攻坚专项设备款300万，次年3月转入石龙区城市管理局，预算资金分配依据缺乏时效性。</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业务执行监督不全面，缺乏业务监控有效性。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按照石龙区财政局下发的文件执行合同备案工作；项目单位未提供内部财务检查记录；未提供国控环境质量空气自动监测站设备采购计划、采购质量安全、验收工作相关资料；制度监控措施不全面，缺乏制度监控有效性。</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left="0" w:leftChars="0" w:firstLine="420" w:firstLineChars="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项目产出质量需提高。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bookmarkStart w:id="17" w:name="_Toc27687"/>
      <w:r>
        <w:rPr>
          <w:rFonts w:hint="eastAsia" w:ascii="仿宋" w:hAnsi="仿宋" w:eastAsia="仿宋" w:cs="仿宋"/>
          <w:sz w:val="32"/>
          <w:szCs w:val="32"/>
          <w:lang w:val="en-US" w:eastAsia="zh-CN"/>
        </w:rPr>
        <w:t>项目单位未提供关于国控环境质量空气自动监测站设备的质量及服务验收资料，设备质量达标率无从考证；通过查看河南正翰实业有限公司出具的《2021年石龙区空气质量研判分析技术服务项目验收总结报告》，PM2.5和PM10的年均浓度未达到实施效果。</w:t>
      </w:r>
      <w:bookmarkEnd w:id="17"/>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项目生态效益未达到设定目标，大气污染防治效果未能得到提升。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查看河南省生态环境厅公布的空气质量排名，2021年4月石龙区为第11名，综合指数3.956，（2021年5月未公布）；年度结束2021年12月石龙区为第42名，综合指数4.801，综合指数不降反增21.36%；待空气质量研判分析技术项目服务期结束，2022年5月石龙区为第44名，（未公布综合指数）；排名下降33名，提升为-300%，生态效益未能达到既定目标。</w:t>
      </w:r>
    </w:p>
    <w:p>
      <w:pPr>
        <w:pStyle w:val="2"/>
        <w:keepNext w:val="0"/>
        <w:keepLines w:val="0"/>
        <w:pageBreakBefore w:val="0"/>
        <w:widowControl w:val="0"/>
        <w:numPr>
          <w:ilvl w:val="0"/>
          <w:numId w:val="5"/>
        </w:numPr>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有关建议</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加强绩效指标的明确性，量化分解绩效目标。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一是科学设置绩效目标和绩效指标。提高绩效目标的导向性作用及可实现性，增强绩效指标的可衡量性。二是注重过程管理，做好绩效监控。三是扎实开展绩效自评，强化结果应用。</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加强预算绩效意识，提高预算编制科学性。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树立预算绩效意识，严格执行项目专项资金管理办法等规定，加强大气污染防治项目专项资金申报的培训工作，建立完善科学的预算，项目投资额或资金量与工作任务互相匹配。切实提高预算执行效率，合理分配预算资金，尽早发挥资金使用效益。</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加强合同管理规范性，规范制度执行及监控措施。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社会购买服务采购、政府合同备案等文件要求，加强合同管理规范性；建立健全相关管理制度，加强固定资产的管理工作，充分发挥监督职能，建立辖区内企业节能减排台账，完善排污监管档案，有效推进项目工作顺利开展。</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强化质量意识，规范项目管理。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对导致项目管理问题的原因应进行分析，采取有效的方法和措施加以解决处理；项目单位加强对服务单位的监督考核，对项目实施过程中存在的问题加强指导、督促整改。</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after="0" w:line="600" w:lineRule="exact"/>
        <w:ind w:left="0" w:leftChars="0" w:firstLine="4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加强大气污染防治宣传力度，提升全民环保意识。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环保宣传教育力度，帮助居民了解保护环境的重要性，以减少在生产、生活中所产生的污染，调动群众参与大气污染防治工作的积极性，唤起群众的生态意识和可持续发展意识，增强全民生环境保护的责任感和使命感。</w:t>
      </w:r>
    </w:p>
    <w:p>
      <w:pPr>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sz w:val="28"/>
          <w:szCs w:val="28"/>
        </w:rPr>
      </w:pPr>
    </w:p>
    <w:p>
      <w:pPr>
        <w:pStyle w:val="15"/>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sz w:val="28"/>
          <w:szCs w:val="28"/>
        </w:rPr>
      </w:pPr>
    </w:p>
    <w:p>
      <w:pPr>
        <w:pStyle w:val="15"/>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sz w:val="28"/>
          <w:szCs w:val="28"/>
        </w:rPr>
      </w:pPr>
    </w:p>
    <w:p>
      <w:pPr>
        <w:pStyle w:val="15"/>
        <w:keepNext w:val="0"/>
        <w:keepLines w:val="0"/>
        <w:pageBreakBefore w:val="0"/>
        <w:widowControl w:val="0"/>
        <w:kinsoku/>
        <w:wordWrap/>
        <w:overflowPunct/>
        <w:topLinePunct w:val="0"/>
        <w:autoSpaceDE/>
        <w:autoSpaceDN/>
        <w:bidi w:val="0"/>
        <w:spacing w:line="600" w:lineRule="exact"/>
        <w:rPr>
          <w:rFonts w:hint="eastAsia" w:ascii="仿宋" w:hAnsi="仿宋" w:eastAsia="仿宋" w:cs="仿宋"/>
          <w:sz w:val="28"/>
          <w:szCs w:val="28"/>
        </w:rPr>
      </w:pPr>
    </w:p>
    <w:p>
      <w:pPr>
        <w:rPr>
          <w:rFonts w:hint="eastAsia" w:eastAsia="宋体"/>
          <w:lang w:eastAsia="zh-CN"/>
        </w:rPr>
      </w:pPr>
    </w:p>
    <w:p>
      <w:pPr>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rPr>
      </w:pPr>
    </w:p>
    <w:sectPr>
      <w:headerReference r:id="rId5" w:type="default"/>
      <w:footerReference r:id="rId6" w:type="default"/>
      <w:pgSz w:w="11906" w:h="16838"/>
      <w:pgMar w:top="1440" w:right="1519" w:bottom="1440" w:left="1633" w:header="851" w:footer="283"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968767-9290-4BE6-9A03-0CE51BFC64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2F52AA7-7391-44FD-864B-ACE9A59CB643}"/>
  </w:font>
  <w:font w:name="仿宋">
    <w:panose1 w:val="02010609060101010101"/>
    <w:charset w:val="86"/>
    <w:family w:val="modern"/>
    <w:pitch w:val="default"/>
    <w:sig w:usb0="800002BF" w:usb1="38CF7CFA" w:usb2="00000016" w:usb3="00000000" w:csb0="00040001" w:csb1="00000000"/>
    <w:embedRegular r:id="rId3" w:fontKey="{D59225BB-D836-4FBE-8382-C45F7EDBEE33}"/>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embedRegular r:id="rId4" w:fontKey="{4B43DBC2-F38D-44E8-9B72-0E065F94A3CA}"/>
  </w:font>
  <w:font w:name="Calibri Light">
    <w:panose1 w:val="020F0302020204030204"/>
    <w:charset w:val="00"/>
    <w:family w:val="auto"/>
    <w:pitch w:val="default"/>
    <w:sig w:usb0="E4002EFF" w:usb1="C000247B" w:usb2="00000009" w:usb3="00000000" w:csb0="200001FF" w:csb1="00000000"/>
    <w:embedRegular r:id="rId5" w:fontKey="{C0DDEE12-ADF9-48F0-B68C-9B2EF8471C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-8255</wp:posOffset>
              </wp:positionH>
              <wp:positionV relativeFrom="paragraph">
                <wp:posOffset>-509270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Bdr>
                              <w:top w:val="thinThickSmallGap" w:color="823B0B" w:themeColor="accent2" w:themeShade="7F" w:sz="24" w:space="1"/>
                            </w:pBdr>
                          </w:pPr>
                          <w:r>
                            <w:rPr>
                              <w:rFonts w:asciiTheme="majorHAnsi" w:hAnsiTheme="majorHAnsi"/>
                              <w:lang w:val="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65pt;margin-top:-40.1pt;height:144pt;width:144pt;mso-position-horizontal-relative:margin;mso-wrap-style:none;z-index:251659264;mso-width-relative:page;mso-height-relative:page;" filled="f" stroked="f" coordsize="21600,21600" o:gfxdata="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PZusD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8"/>
                      <w:pBdr>
                        <w:top w:val="thinThickSmallGap" w:color="823B0B" w:themeColor="accent2" w:themeShade="7F" w:sz="24" w:space="1"/>
                      </w:pBdr>
                    </w:pPr>
                    <w:r>
                      <w:rPr>
                        <w:rFonts w:asciiTheme="majorHAnsi" w:hAnsiTheme="majorHAnsi"/>
                        <w:lang w:val="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center"/>
      <w:rPr>
        <w:rFonts w:hint="eastAsia" w:ascii="仿宋" w:hAnsi="仿宋" w:eastAsia="仿宋" w:cs="仿宋"/>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F702F"/>
    <w:multiLevelType w:val="singleLevel"/>
    <w:tmpl w:val="BB6F702F"/>
    <w:lvl w:ilvl="0" w:tentative="0">
      <w:start w:val="1"/>
      <w:numFmt w:val="chineseCounting"/>
      <w:suff w:val="nothing"/>
      <w:lvlText w:val="（%1）"/>
      <w:lvlJc w:val="left"/>
      <w:pPr>
        <w:ind w:left="0" w:firstLine="420"/>
      </w:pPr>
      <w:rPr>
        <w:rFonts w:hint="eastAsia"/>
      </w:rPr>
    </w:lvl>
  </w:abstractNum>
  <w:abstractNum w:abstractNumId="1">
    <w:nsid w:val="0B5D3032"/>
    <w:multiLevelType w:val="multilevel"/>
    <w:tmpl w:val="0B5D3032"/>
    <w:lvl w:ilvl="0" w:tentative="0">
      <w:start w:val="1"/>
      <w:numFmt w:val="chineseCountingThousand"/>
      <w:pStyle w:val="5"/>
      <w:lvlText w:val="(%1)"/>
      <w:lvlJc w:val="left"/>
      <w:pPr>
        <w:ind w:left="118" w:hanging="420"/>
      </w:pPr>
      <w:rPr>
        <w:rFonts w:hint="eastAsia"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A1729D"/>
    <w:multiLevelType w:val="multilevel"/>
    <w:tmpl w:val="24A1729D"/>
    <w:lvl w:ilvl="0" w:tentative="0">
      <w:start w:val="1"/>
      <w:numFmt w:val="decimal"/>
      <w:pStyle w:val="6"/>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31CFC746"/>
    <w:multiLevelType w:val="singleLevel"/>
    <w:tmpl w:val="31CFC746"/>
    <w:lvl w:ilvl="0" w:tentative="0">
      <w:start w:val="6"/>
      <w:numFmt w:val="chineseCounting"/>
      <w:suff w:val="nothing"/>
      <w:lvlText w:val="%1、"/>
      <w:lvlJc w:val="left"/>
      <w:rPr>
        <w:rFonts w:hint="eastAsia"/>
      </w:rPr>
    </w:lvl>
  </w:abstractNum>
  <w:abstractNum w:abstractNumId="4">
    <w:nsid w:val="45D0A055"/>
    <w:multiLevelType w:val="singleLevel"/>
    <w:tmpl w:val="45D0A055"/>
    <w:lvl w:ilvl="0" w:tentative="0">
      <w:start w:val="1"/>
      <w:numFmt w:val="chineseCounting"/>
      <w:suff w:val="nothing"/>
      <w:lvlText w:val="（%1）"/>
      <w:lvlJc w:val="left"/>
      <w:pPr>
        <w:ind w:left="0" w:firstLine="420"/>
      </w:pPr>
      <w:rPr>
        <w:rFonts w:hint="eastAsia"/>
      </w:rPr>
    </w:lvl>
  </w:abstractNum>
  <w:abstractNum w:abstractNumId="5">
    <w:nsid w:val="532C7775"/>
    <w:multiLevelType w:val="multilevel"/>
    <w:tmpl w:val="532C7775"/>
    <w:lvl w:ilvl="0" w:tentative="0">
      <w:start w:val="1"/>
      <w:numFmt w:val="japaneseCounting"/>
      <w:pStyle w:val="3"/>
      <w:lvlText w:val="%1、"/>
      <w:lvlJc w:val="left"/>
      <w:pPr>
        <w:ind w:left="60" w:hanging="720"/>
      </w:pPr>
    </w:lvl>
    <w:lvl w:ilvl="1" w:tentative="0">
      <w:start w:val="1"/>
      <w:numFmt w:val="decimal"/>
      <w:lvlText w:val="%2、"/>
      <w:lvlJc w:val="left"/>
      <w:pPr>
        <w:ind w:left="1140" w:hanging="72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TZkODNlNDUzN2U3NTg4ZDBjZTc1N2NiMWZjMTQifQ=="/>
  </w:docVars>
  <w:rsids>
    <w:rsidRoot w:val="00000000"/>
    <w:rsid w:val="004A6B06"/>
    <w:rsid w:val="00A3748E"/>
    <w:rsid w:val="00C627DB"/>
    <w:rsid w:val="0117719B"/>
    <w:rsid w:val="012D25A3"/>
    <w:rsid w:val="013D118F"/>
    <w:rsid w:val="0177566F"/>
    <w:rsid w:val="01D63A4C"/>
    <w:rsid w:val="02330ED5"/>
    <w:rsid w:val="026A4604"/>
    <w:rsid w:val="035045FE"/>
    <w:rsid w:val="03507D3F"/>
    <w:rsid w:val="049525BD"/>
    <w:rsid w:val="04A10F62"/>
    <w:rsid w:val="04A21C0D"/>
    <w:rsid w:val="04AE4591"/>
    <w:rsid w:val="056A567A"/>
    <w:rsid w:val="058D3EED"/>
    <w:rsid w:val="05DC421B"/>
    <w:rsid w:val="06707752"/>
    <w:rsid w:val="07AF3F93"/>
    <w:rsid w:val="07CB3E7A"/>
    <w:rsid w:val="07EA3D06"/>
    <w:rsid w:val="07F83204"/>
    <w:rsid w:val="08070BB6"/>
    <w:rsid w:val="088A5A8D"/>
    <w:rsid w:val="089112ED"/>
    <w:rsid w:val="09093579"/>
    <w:rsid w:val="09300448"/>
    <w:rsid w:val="0962372C"/>
    <w:rsid w:val="09E661A6"/>
    <w:rsid w:val="0A0867B5"/>
    <w:rsid w:val="0A1D366F"/>
    <w:rsid w:val="0A2E3400"/>
    <w:rsid w:val="0A7705F9"/>
    <w:rsid w:val="0A7931F5"/>
    <w:rsid w:val="0A876C58"/>
    <w:rsid w:val="0AA157A8"/>
    <w:rsid w:val="0AA4153F"/>
    <w:rsid w:val="0AAA2B3A"/>
    <w:rsid w:val="0B032F70"/>
    <w:rsid w:val="0B321D87"/>
    <w:rsid w:val="0B364A14"/>
    <w:rsid w:val="0B582596"/>
    <w:rsid w:val="0BC81BCE"/>
    <w:rsid w:val="0BCB2D68"/>
    <w:rsid w:val="0C5D2AAA"/>
    <w:rsid w:val="0C5F2A90"/>
    <w:rsid w:val="0C726E14"/>
    <w:rsid w:val="0C830B6C"/>
    <w:rsid w:val="0CD66F96"/>
    <w:rsid w:val="0D462D5E"/>
    <w:rsid w:val="0D4D69DE"/>
    <w:rsid w:val="0DA449E2"/>
    <w:rsid w:val="0E140AEE"/>
    <w:rsid w:val="0E2B2282"/>
    <w:rsid w:val="0F0D5446"/>
    <w:rsid w:val="0F6A2871"/>
    <w:rsid w:val="0F7529A0"/>
    <w:rsid w:val="0F8D09CE"/>
    <w:rsid w:val="0FEE5277"/>
    <w:rsid w:val="10645539"/>
    <w:rsid w:val="11164A85"/>
    <w:rsid w:val="117B3BCF"/>
    <w:rsid w:val="11D84431"/>
    <w:rsid w:val="12034EBE"/>
    <w:rsid w:val="123F24B6"/>
    <w:rsid w:val="12765835"/>
    <w:rsid w:val="12E35EDE"/>
    <w:rsid w:val="12E65137"/>
    <w:rsid w:val="13C36A04"/>
    <w:rsid w:val="14092680"/>
    <w:rsid w:val="142C45C0"/>
    <w:rsid w:val="14AA4EB4"/>
    <w:rsid w:val="14AB3737"/>
    <w:rsid w:val="14B8398E"/>
    <w:rsid w:val="14D40792"/>
    <w:rsid w:val="14DF3D48"/>
    <w:rsid w:val="15354EFC"/>
    <w:rsid w:val="156369B8"/>
    <w:rsid w:val="1585029B"/>
    <w:rsid w:val="15AC6074"/>
    <w:rsid w:val="15C8080D"/>
    <w:rsid w:val="15D54F0F"/>
    <w:rsid w:val="162121A4"/>
    <w:rsid w:val="16225C7A"/>
    <w:rsid w:val="172C2525"/>
    <w:rsid w:val="17563E2E"/>
    <w:rsid w:val="17652C84"/>
    <w:rsid w:val="17663FBE"/>
    <w:rsid w:val="17684793"/>
    <w:rsid w:val="17EE050A"/>
    <w:rsid w:val="17EF6030"/>
    <w:rsid w:val="18151383"/>
    <w:rsid w:val="19B17D1E"/>
    <w:rsid w:val="1A56298D"/>
    <w:rsid w:val="1AE479A2"/>
    <w:rsid w:val="1B1465DE"/>
    <w:rsid w:val="1B3B2C45"/>
    <w:rsid w:val="1B50619C"/>
    <w:rsid w:val="1C220782"/>
    <w:rsid w:val="1C2208E7"/>
    <w:rsid w:val="1CC229D0"/>
    <w:rsid w:val="1CFE15FD"/>
    <w:rsid w:val="1D231C89"/>
    <w:rsid w:val="1D990F18"/>
    <w:rsid w:val="1DB976BD"/>
    <w:rsid w:val="1DC055C2"/>
    <w:rsid w:val="1DE85AF8"/>
    <w:rsid w:val="1DFF09CF"/>
    <w:rsid w:val="1E4C5F8A"/>
    <w:rsid w:val="1F2D108D"/>
    <w:rsid w:val="1FD21D70"/>
    <w:rsid w:val="208E5822"/>
    <w:rsid w:val="20E24984"/>
    <w:rsid w:val="212D3480"/>
    <w:rsid w:val="216A0EB4"/>
    <w:rsid w:val="21FE64EE"/>
    <w:rsid w:val="229D5007"/>
    <w:rsid w:val="22A068A5"/>
    <w:rsid w:val="22A7378F"/>
    <w:rsid w:val="22A974E5"/>
    <w:rsid w:val="22C500B9"/>
    <w:rsid w:val="23226F32"/>
    <w:rsid w:val="23654758"/>
    <w:rsid w:val="23E518D4"/>
    <w:rsid w:val="24125580"/>
    <w:rsid w:val="241C47B0"/>
    <w:rsid w:val="24932F89"/>
    <w:rsid w:val="25CB1E8B"/>
    <w:rsid w:val="26064C71"/>
    <w:rsid w:val="26ED223B"/>
    <w:rsid w:val="26FD322A"/>
    <w:rsid w:val="2753038A"/>
    <w:rsid w:val="27740FE5"/>
    <w:rsid w:val="278D39F6"/>
    <w:rsid w:val="27D112AE"/>
    <w:rsid w:val="28BB49E1"/>
    <w:rsid w:val="28CF587B"/>
    <w:rsid w:val="2976210D"/>
    <w:rsid w:val="299A22A0"/>
    <w:rsid w:val="299F2802"/>
    <w:rsid w:val="29BB5D72"/>
    <w:rsid w:val="29C64906"/>
    <w:rsid w:val="2A154580"/>
    <w:rsid w:val="2A2815AA"/>
    <w:rsid w:val="2A4E4E38"/>
    <w:rsid w:val="2A7825AA"/>
    <w:rsid w:val="2A95735C"/>
    <w:rsid w:val="2AF0725C"/>
    <w:rsid w:val="2AF2357F"/>
    <w:rsid w:val="2B1E480B"/>
    <w:rsid w:val="2B3B52BF"/>
    <w:rsid w:val="2BCA3B75"/>
    <w:rsid w:val="2C3708A1"/>
    <w:rsid w:val="2C531232"/>
    <w:rsid w:val="2C685DA0"/>
    <w:rsid w:val="2C686FE7"/>
    <w:rsid w:val="2D250CDE"/>
    <w:rsid w:val="2DDF2977"/>
    <w:rsid w:val="2DF9149C"/>
    <w:rsid w:val="2E0958A5"/>
    <w:rsid w:val="2E3100DC"/>
    <w:rsid w:val="2E620EB2"/>
    <w:rsid w:val="2EAE4CB2"/>
    <w:rsid w:val="2EB23BE8"/>
    <w:rsid w:val="2F3C2ACF"/>
    <w:rsid w:val="2FDF6C0C"/>
    <w:rsid w:val="303F76FD"/>
    <w:rsid w:val="306F6FB0"/>
    <w:rsid w:val="30B17ECF"/>
    <w:rsid w:val="30CF1522"/>
    <w:rsid w:val="30EB33E1"/>
    <w:rsid w:val="313D032A"/>
    <w:rsid w:val="31B263C1"/>
    <w:rsid w:val="31F35DD7"/>
    <w:rsid w:val="322D7C32"/>
    <w:rsid w:val="32A73338"/>
    <w:rsid w:val="339C5499"/>
    <w:rsid w:val="33B04A91"/>
    <w:rsid w:val="344572AC"/>
    <w:rsid w:val="347C17CE"/>
    <w:rsid w:val="348237EF"/>
    <w:rsid w:val="34AA5361"/>
    <w:rsid w:val="34F16D04"/>
    <w:rsid w:val="35DC59EE"/>
    <w:rsid w:val="35DE71CB"/>
    <w:rsid w:val="371722E2"/>
    <w:rsid w:val="381073E3"/>
    <w:rsid w:val="38443DFC"/>
    <w:rsid w:val="385955B4"/>
    <w:rsid w:val="38F97C5B"/>
    <w:rsid w:val="392B4CC2"/>
    <w:rsid w:val="393618B9"/>
    <w:rsid w:val="39406294"/>
    <w:rsid w:val="395F671A"/>
    <w:rsid w:val="396F3CA8"/>
    <w:rsid w:val="39B450F1"/>
    <w:rsid w:val="3A781D13"/>
    <w:rsid w:val="3A863991"/>
    <w:rsid w:val="3A931365"/>
    <w:rsid w:val="3ACA4E45"/>
    <w:rsid w:val="3B331C0C"/>
    <w:rsid w:val="3B523786"/>
    <w:rsid w:val="3B945917"/>
    <w:rsid w:val="3BCD6A45"/>
    <w:rsid w:val="3BD530CB"/>
    <w:rsid w:val="3BEA2ACA"/>
    <w:rsid w:val="3C091F84"/>
    <w:rsid w:val="3DA654F8"/>
    <w:rsid w:val="3E3470F1"/>
    <w:rsid w:val="3E7C347E"/>
    <w:rsid w:val="3EA17E71"/>
    <w:rsid w:val="3EAB0654"/>
    <w:rsid w:val="3EDE4585"/>
    <w:rsid w:val="3F1B465A"/>
    <w:rsid w:val="3F770324"/>
    <w:rsid w:val="3F837B7D"/>
    <w:rsid w:val="40287DC5"/>
    <w:rsid w:val="40512B35"/>
    <w:rsid w:val="407A6EF0"/>
    <w:rsid w:val="40867967"/>
    <w:rsid w:val="40873E38"/>
    <w:rsid w:val="409D2675"/>
    <w:rsid w:val="41067DC3"/>
    <w:rsid w:val="411A73CB"/>
    <w:rsid w:val="41255DFF"/>
    <w:rsid w:val="414E6803"/>
    <w:rsid w:val="415F7893"/>
    <w:rsid w:val="418238EE"/>
    <w:rsid w:val="421A1629"/>
    <w:rsid w:val="42FD44B2"/>
    <w:rsid w:val="438D7518"/>
    <w:rsid w:val="43E443EC"/>
    <w:rsid w:val="43F655E3"/>
    <w:rsid w:val="44694075"/>
    <w:rsid w:val="446B68BB"/>
    <w:rsid w:val="447D65EE"/>
    <w:rsid w:val="448C5CC4"/>
    <w:rsid w:val="44FE772F"/>
    <w:rsid w:val="45473CA4"/>
    <w:rsid w:val="456B6447"/>
    <w:rsid w:val="45AA19D8"/>
    <w:rsid w:val="45AB5409"/>
    <w:rsid w:val="45B1654F"/>
    <w:rsid w:val="46367005"/>
    <w:rsid w:val="4657116D"/>
    <w:rsid w:val="465B387E"/>
    <w:rsid w:val="465D0485"/>
    <w:rsid w:val="467557CF"/>
    <w:rsid w:val="467622FD"/>
    <w:rsid w:val="46895B79"/>
    <w:rsid w:val="46BA1434"/>
    <w:rsid w:val="46BE4477"/>
    <w:rsid w:val="46DF70EC"/>
    <w:rsid w:val="46FA1ECA"/>
    <w:rsid w:val="48331909"/>
    <w:rsid w:val="48EB73AD"/>
    <w:rsid w:val="493A273F"/>
    <w:rsid w:val="494B2816"/>
    <w:rsid w:val="49846C00"/>
    <w:rsid w:val="49D82FAF"/>
    <w:rsid w:val="4A71504B"/>
    <w:rsid w:val="4B6956F5"/>
    <w:rsid w:val="4C213D03"/>
    <w:rsid w:val="4CB37051"/>
    <w:rsid w:val="4CEA2347"/>
    <w:rsid w:val="4D01701D"/>
    <w:rsid w:val="4D096994"/>
    <w:rsid w:val="4D5D520F"/>
    <w:rsid w:val="4DB712E3"/>
    <w:rsid w:val="4DCF687D"/>
    <w:rsid w:val="4DDF75B7"/>
    <w:rsid w:val="4E80633E"/>
    <w:rsid w:val="4F554B4D"/>
    <w:rsid w:val="4FD16B32"/>
    <w:rsid w:val="4FFF436A"/>
    <w:rsid w:val="512A5803"/>
    <w:rsid w:val="516D265F"/>
    <w:rsid w:val="51703763"/>
    <w:rsid w:val="51C07B1A"/>
    <w:rsid w:val="524936E3"/>
    <w:rsid w:val="5382653B"/>
    <w:rsid w:val="53832BD5"/>
    <w:rsid w:val="53F73640"/>
    <w:rsid w:val="54315867"/>
    <w:rsid w:val="55515659"/>
    <w:rsid w:val="555B6C9F"/>
    <w:rsid w:val="55D750AE"/>
    <w:rsid w:val="55E5321D"/>
    <w:rsid w:val="560644C2"/>
    <w:rsid w:val="561A1EEF"/>
    <w:rsid w:val="5633598F"/>
    <w:rsid w:val="56460D3D"/>
    <w:rsid w:val="569E48CE"/>
    <w:rsid w:val="570C1B99"/>
    <w:rsid w:val="57596744"/>
    <w:rsid w:val="581A61D6"/>
    <w:rsid w:val="586143EF"/>
    <w:rsid w:val="592D7937"/>
    <w:rsid w:val="595D0F93"/>
    <w:rsid w:val="59740CA6"/>
    <w:rsid w:val="59A97982"/>
    <w:rsid w:val="5A011185"/>
    <w:rsid w:val="5B130FC6"/>
    <w:rsid w:val="5B1D360B"/>
    <w:rsid w:val="5B416F42"/>
    <w:rsid w:val="5B5A5164"/>
    <w:rsid w:val="5B6F05E7"/>
    <w:rsid w:val="5B914A01"/>
    <w:rsid w:val="5BDF56D0"/>
    <w:rsid w:val="5C123FE2"/>
    <w:rsid w:val="5C19597E"/>
    <w:rsid w:val="5C3B5A47"/>
    <w:rsid w:val="5C5703D7"/>
    <w:rsid w:val="5CC115B2"/>
    <w:rsid w:val="5D0B07E3"/>
    <w:rsid w:val="5D0B2591"/>
    <w:rsid w:val="5D5850AB"/>
    <w:rsid w:val="5DC469AC"/>
    <w:rsid w:val="5DD66B15"/>
    <w:rsid w:val="5F0F0A09"/>
    <w:rsid w:val="5F3233D9"/>
    <w:rsid w:val="5FBA575E"/>
    <w:rsid w:val="5FE96FE9"/>
    <w:rsid w:val="5FFB68ED"/>
    <w:rsid w:val="60161335"/>
    <w:rsid w:val="60172FFB"/>
    <w:rsid w:val="60326B7B"/>
    <w:rsid w:val="60A33065"/>
    <w:rsid w:val="60B62264"/>
    <w:rsid w:val="60C9055E"/>
    <w:rsid w:val="619A3A5A"/>
    <w:rsid w:val="623F0B7F"/>
    <w:rsid w:val="62515468"/>
    <w:rsid w:val="626D33A6"/>
    <w:rsid w:val="62FA10DE"/>
    <w:rsid w:val="63040749"/>
    <w:rsid w:val="6384712A"/>
    <w:rsid w:val="639D1540"/>
    <w:rsid w:val="63C74D38"/>
    <w:rsid w:val="641066DF"/>
    <w:rsid w:val="643A4FBB"/>
    <w:rsid w:val="648B3FB8"/>
    <w:rsid w:val="6492774D"/>
    <w:rsid w:val="6525440C"/>
    <w:rsid w:val="653A1C66"/>
    <w:rsid w:val="655D1CFC"/>
    <w:rsid w:val="65BD1F06"/>
    <w:rsid w:val="66D15EF7"/>
    <w:rsid w:val="67120B00"/>
    <w:rsid w:val="6721118D"/>
    <w:rsid w:val="67611E76"/>
    <w:rsid w:val="67CA51F3"/>
    <w:rsid w:val="67DE0978"/>
    <w:rsid w:val="68166636"/>
    <w:rsid w:val="68307A9B"/>
    <w:rsid w:val="6921311D"/>
    <w:rsid w:val="695D35C9"/>
    <w:rsid w:val="69867FCE"/>
    <w:rsid w:val="6AD46DD1"/>
    <w:rsid w:val="6B1747F7"/>
    <w:rsid w:val="6B882FFF"/>
    <w:rsid w:val="6B93461B"/>
    <w:rsid w:val="6BAD2A66"/>
    <w:rsid w:val="6DC17AF6"/>
    <w:rsid w:val="6DD8201C"/>
    <w:rsid w:val="6DF56E35"/>
    <w:rsid w:val="6E1A5C83"/>
    <w:rsid w:val="6E292877"/>
    <w:rsid w:val="6E3A0F28"/>
    <w:rsid w:val="6E681AD6"/>
    <w:rsid w:val="6E7D0E15"/>
    <w:rsid w:val="6E804461"/>
    <w:rsid w:val="6E91666F"/>
    <w:rsid w:val="6EF14225"/>
    <w:rsid w:val="6F062BB9"/>
    <w:rsid w:val="6FAF3250"/>
    <w:rsid w:val="6FE14D63"/>
    <w:rsid w:val="6FE50B33"/>
    <w:rsid w:val="706A2488"/>
    <w:rsid w:val="708F3550"/>
    <w:rsid w:val="70C90342"/>
    <w:rsid w:val="70FE7B2A"/>
    <w:rsid w:val="7149181B"/>
    <w:rsid w:val="71866233"/>
    <w:rsid w:val="71B3457D"/>
    <w:rsid w:val="71DB032D"/>
    <w:rsid w:val="72624542"/>
    <w:rsid w:val="726C6C82"/>
    <w:rsid w:val="72A378D8"/>
    <w:rsid w:val="73BA645C"/>
    <w:rsid w:val="73E9412A"/>
    <w:rsid w:val="73EF1E6D"/>
    <w:rsid w:val="7439758C"/>
    <w:rsid w:val="74847FAA"/>
    <w:rsid w:val="748C6809"/>
    <w:rsid w:val="74DA2029"/>
    <w:rsid w:val="74DB03A6"/>
    <w:rsid w:val="7524023C"/>
    <w:rsid w:val="752A799F"/>
    <w:rsid w:val="754C66F7"/>
    <w:rsid w:val="75AC3BD4"/>
    <w:rsid w:val="75C27B48"/>
    <w:rsid w:val="75E2201C"/>
    <w:rsid w:val="763D4224"/>
    <w:rsid w:val="7798281C"/>
    <w:rsid w:val="77BF438F"/>
    <w:rsid w:val="77E34CB2"/>
    <w:rsid w:val="77F37665"/>
    <w:rsid w:val="78DA2881"/>
    <w:rsid w:val="79382508"/>
    <w:rsid w:val="795C5D0A"/>
    <w:rsid w:val="798219D5"/>
    <w:rsid w:val="7A5134E0"/>
    <w:rsid w:val="7AAB0796"/>
    <w:rsid w:val="7B3311D9"/>
    <w:rsid w:val="7B4D7091"/>
    <w:rsid w:val="7BB40EE6"/>
    <w:rsid w:val="7BC736D0"/>
    <w:rsid w:val="7CBD044A"/>
    <w:rsid w:val="7CD42C00"/>
    <w:rsid w:val="7D123E77"/>
    <w:rsid w:val="7D926753"/>
    <w:rsid w:val="7DCA0D82"/>
    <w:rsid w:val="7E264E4B"/>
    <w:rsid w:val="7E9E4BBC"/>
    <w:rsid w:val="7EF649F8"/>
    <w:rsid w:val="7F6C2F54"/>
    <w:rsid w:val="7F7233A5"/>
    <w:rsid w:val="7F823E73"/>
    <w:rsid w:val="7FCB7C32"/>
    <w:rsid w:val="7FF6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9"/>
    <w:pPr>
      <w:keepNext/>
      <w:keepLines/>
      <w:numPr>
        <w:ilvl w:val="0"/>
        <w:numId w:val="1"/>
      </w:numPr>
      <w:spacing w:before="360" w:after="240" w:line="480" w:lineRule="exact"/>
      <w:ind w:left="720" w:hanging="720"/>
      <w:outlineLvl w:val="0"/>
    </w:pPr>
    <w:rPr>
      <w:rFonts w:ascii="宋体" w:hAnsi="宋体"/>
      <w:bCs/>
      <w:kern w:val="44"/>
      <w:sz w:val="24"/>
      <w:szCs w:val="24"/>
    </w:rPr>
  </w:style>
  <w:style w:type="paragraph" w:styleId="5">
    <w:name w:val="heading 2"/>
    <w:basedOn w:val="1"/>
    <w:next w:val="1"/>
    <w:link w:val="21"/>
    <w:qFormat/>
    <w:uiPriority w:val="9"/>
    <w:pPr>
      <w:keepNext/>
      <w:keepLines/>
      <w:numPr>
        <w:ilvl w:val="0"/>
        <w:numId w:val="2"/>
      </w:numPr>
      <w:spacing w:before="360" w:after="240"/>
      <w:ind w:left="567" w:hanging="567" w:firstLineChars="0"/>
      <w:outlineLvl w:val="1"/>
    </w:pPr>
    <w:rPr>
      <w:rFonts w:ascii="Cambria" w:hAnsi="Cambria"/>
      <w:bCs/>
      <w:kern w:val="0"/>
      <w:sz w:val="24"/>
      <w:szCs w:val="32"/>
    </w:rPr>
  </w:style>
  <w:style w:type="paragraph" w:styleId="6">
    <w:name w:val="heading 3"/>
    <w:basedOn w:val="4"/>
    <w:next w:val="1"/>
    <w:unhideWhenUsed/>
    <w:qFormat/>
    <w:uiPriority w:val="9"/>
    <w:pPr>
      <w:keepNext/>
      <w:keepLines/>
      <w:numPr>
        <w:ilvl w:val="0"/>
        <w:numId w:val="3"/>
      </w:numPr>
      <w:spacing w:after="0"/>
      <w:ind w:left="0" w:firstLine="567" w:firstLineChars="0"/>
      <w:outlineLvl w:val="2"/>
    </w:pPr>
    <w:rPr>
      <w:rFonts w:ascii="宋体" w:hAnsi="宋体" w:cs="宋体"/>
      <w:sz w:val="24"/>
    </w:rPr>
  </w:style>
  <w:style w:type="paragraph" w:styleId="7">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14">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Body Text First Indent"/>
    <w:basedOn w:val="2"/>
    <w:unhideWhenUsed/>
    <w:qFormat/>
    <w:uiPriority w:val="99"/>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文档正文"/>
    <w:basedOn w:val="1"/>
    <w:qFormat/>
    <w:uiPriority w:val="0"/>
    <w:pPr>
      <w:adjustRightInd w:val="0"/>
      <w:spacing w:line="480" w:lineRule="atLeast"/>
      <w:ind w:firstLine="567"/>
      <w:textAlignment w:val="baseline"/>
    </w:pPr>
    <w:rPr>
      <w:rFonts w:ascii="仿宋_GB2312"/>
      <w:kern w:val="0"/>
      <w:sz w:val="28"/>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 w:type="paragraph" w:customStyle="1" w:styleId="18">
    <w:name w:val="WPSOffice手动目录 3"/>
    <w:qFormat/>
    <w:uiPriority w:val="0"/>
    <w:pPr>
      <w:ind w:leftChars="400"/>
    </w:pPr>
    <w:rPr>
      <w:rFonts w:asciiTheme="minorHAnsi" w:hAnsiTheme="minorHAnsi" w:eastAsiaTheme="minorEastAsia" w:cstheme="minorBidi"/>
      <w:sz w:val="20"/>
      <w:szCs w:val="20"/>
    </w:rPr>
  </w:style>
  <w:style w:type="paragraph" w:customStyle="1" w:styleId="19">
    <w:name w:val="表格"/>
    <w:basedOn w:val="1"/>
    <w:next w:val="1"/>
    <w:qFormat/>
    <w:uiPriority w:val="0"/>
    <w:pPr>
      <w:spacing w:line="240" w:lineRule="auto"/>
      <w:ind w:firstLine="0" w:firstLineChars="0"/>
      <w:jc w:val="center"/>
    </w:pPr>
    <w:rPr>
      <w:sz w:val="24"/>
      <w:szCs w:val="24"/>
    </w:rPr>
  </w:style>
  <w:style w:type="paragraph" w:styleId="20">
    <w:name w:val="List Paragraph"/>
    <w:basedOn w:val="1"/>
    <w:qFormat/>
    <w:uiPriority w:val="34"/>
    <w:pPr>
      <w:ind w:firstLine="420" w:firstLineChars="200"/>
    </w:pPr>
  </w:style>
  <w:style w:type="character" w:customStyle="1" w:styleId="21">
    <w:name w:val="标题 2 Char"/>
    <w:link w:val="5"/>
    <w:qFormat/>
    <w:uiPriority w:val="9"/>
    <w:rPr>
      <w:rFonts w:ascii="Cambria" w:hAnsi="Cambria"/>
      <w:bCs/>
      <w:kern w:val="0"/>
      <w:sz w:val="24"/>
      <w:szCs w:val="32"/>
    </w:rPr>
  </w:style>
  <w:style w:type="character" w:customStyle="1" w:styleId="22">
    <w:name w:val="font21"/>
    <w:basedOn w:val="14"/>
    <w:qFormat/>
    <w:uiPriority w:val="0"/>
    <w:rPr>
      <w:rFonts w:hint="eastAsia" w:ascii="仿宋" w:hAnsi="仿宋" w:eastAsia="仿宋" w:cs="仿宋"/>
      <w:color w:val="000000"/>
      <w:sz w:val="21"/>
      <w:szCs w:val="21"/>
      <w:u w:val="none"/>
    </w:rPr>
  </w:style>
  <w:style w:type="character" w:customStyle="1" w:styleId="23">
    <w:name w:val="font41"/>
    <w:basedOn w:val="14"/>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3381</Words>
  <Characters>3620</Characters>
  <Lines>0</Lines>
  <Paragraphs>0</Paragraphs>
  <TotalTime>5</TotalTime>
  <ScaleCrop>false</ScaleCrop>
  <LinksUpToDate>false</LinksUpToDate>
  <CharactersWithSpaces>3640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2022-08-09T12:30:00Z</dcterms:created>
  <dc:creator>Administrator</dc:creator>
  <cp:lastModifiedBy>lenovo</cp:lastModifiedBy>
  <dcterms:modified xsi:type="dcterms:W3CDTF">2023-01-03T03:34:13Z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0376AFE7111549D2AA305F321E25B42C</vt:lpwstr>
  </property>
</Properties>
</file>