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2021年度平顶山市石龙区残疾人联合会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部门整体支出绩效评价报告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为贯彻落实《中共中央国务院关于全面实施预算绩效管 理的意见》(中发〔2018〕34 号) 和《中共河南省委河南省 人民政府关于全面实施预算绩效管理的实施意见》(豫发〔2019〕10号)等文件精神，加强财政资金绩效管理，提高资金使用效益，石龙区财政局委托第三方机构组成评价组对2021年度平顶山市石龙区残疾人联合会部门整体支出资金进行绩效评价，现将有关情况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(一)部门概况</w:t>
      </w: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平顶山市石龙区残疾人联合会是平顶山市残疾人联合会的基层组织，是将残疾人自身代表组织、社会福利团体和事业管理机构为一体的残疾人事业性团体，具有“代表、服务、管理”职能:代表残疾人共同利益，维护残疾人的合法权益；开展各项业务和活动，直接为残疾人服务；承担政府委托的部分行政职能，发展和管理残疾人事业。共设有5个职能科室，包括办公室、康复部、教育就业、组织联络部、维权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(二)部门预算、决算情况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2021年预算收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总计为269.84万元，其中一般公共预算264.35万元，政府性基金5.49万元。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269.84万元，其中：基本支出155.19万元，占57.51%；项目支出 114.65万元，占42.49%。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2.决算情况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2021年决算收入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为364.45万元，其中一般公共预算209.93万元，政府性基金70.22万元，年初结转和结余84.31万元。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2021年决算支出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为364.45万元，完成年初预算的135.06%，其中：基本支出138.48万元，完成年初预算的89.23%；项目支出207.34万元，完成年初预算的180.85%；年末结转和结余18.63万元。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(三)部门年度重点工作任务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（1）开展残疾儿童抢救性康复工作。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（2）开展辅助器具适配筛查工作。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（3）进一步实施“阳光惠残工程”。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（4）继续实施残疾人托养服务“阳光家园”计划。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（5）审核好残疾人生活、护理两项补贴发放人数。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（6）残疾人农村实用技术培训和职业技能培训。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（7）夯实残疾人基层组织建设。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（8）加大残疾人证办证，换证力度。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（9）做好肢体残疾人燃油补贴审核发放工作；实施好重度残疾人家庭无障碍改造。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（10）加强残疾人信访维权工作。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(一)绩效评价目的、对象和范围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本次评价目的是了解财政资金使用情况和取得的效果，提高财政资源配置效率和使用效益。通过对石龙区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残疾人联合会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部门整体支出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中项目决策、项目管理、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履职效能、运行成本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效益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、可持续性发展能力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等情况进行评价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促使项目主管部门、实施单位根据绩效评价中发现的问题，及时调整和完善工作计划和绩效目标，为后续资金投入、分配和管理提供决策依据。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(二)绩效评价原则、方法和标准及指标体系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本次绩效评价原则：坚持真实、科学、公正的原则；坚 持综合绩效评价的原则；坚持定量分析与定性分析的原则； 坚持绩效评价与项目支出管理相结合的原则。本次采取比较法、因素分析法、公众评判法相结合的评价方法开展评价工作。采取计划标准、行业标准和历史标准相结合的评价标准开展评价工作，衡量财政支出绩效目标完成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本次评价指标体系根据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石龙区财政局《关于开展202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年度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区级重点项目及部门整体绩效评价工作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的通知》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，本项目绩效评价指标体系共设置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一级指标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个，二级指标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个，三级指标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个，指标权重自上而下按指标层次分步确定权重，决策指标、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指标、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履职效能指标、运行成本指标、社会效益指标、可持续性发展能力指标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分值依次为10分、30分、30分、10分、15分、5分。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(三)绩效评价工作过程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本次绩效评价工作开展以来历经前期准备、指标体系及 方案设计、实地调研、数据整理、评价实施、报告撰写等阶段。在此基础上，按要求形成初步评价报告，并根据相关部门、专家意见进行修改完善，形成最终绩效评价报告。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(一)综合评价情况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整体来看，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2021年度平顶山市石龙区残疾人联合会部门整体支出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决策制度科学、年度工作计划明确、预算执行率高、政府采购执行率高、预决算信息公开及时、基础信息完善、绩效目标合理、支出结构合理、固定资产利用率高等。通过2021年工作实施，石龙区残疾人联合会部门整体支出加强了残疾人社会保障工作，改善了残疾人的生活环境和质量、提高了残疾人发展和增收能力，社会效益取得良好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经过分析，部门整体支出仍存在预算管理制度不健全、 预算编制不精准、预算调整率高、预算绩效管理机制不健全、绩效监控不到位、绩效自评质量不高、残疾人事业宣传力度不够，助残惠残政策影响力需增强等问题。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(二)评价结论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依据2021年度平顶山市石龙区残疾人联合会部门整体支出绩效评价指标体系，评价组对2021年度平顶山市石龙区残疾人联合会部门整体支出进行打分，最终得分为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84.95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分。参照平顶山市财政局《平顶山市市级预算绩效管理办法》（平财效〔2021〕5号）的有关规定，绩效评价结果等级为“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”。</w:t>
      </w:r>
    </w:p>
    <w:p>
      <w:pPr>
        <w:pStyle w:val="6"/>
        <w:rPr>
          <w:rFonts w:hint="eastAsia"/>
          <w:lang w:val="en-US" w:eastAsia="zh-CN"/>
        </w:rPr>
      </w:pPr>
    </w:p>
    <w:tbl>
      <w:tblPr>
        <w:tblStyle w:val="9"/>
        <w:tblpPr w:leftFromText="180" w:rightFromText="180" w:vertAnchor="text" w:horzAnchor="page" w:tblpX="1945" w:tblpY="38"/>
        <w:tblOverlap w:val="never"/>
        <w:tblW w:w="83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80"/>
        <w:gridCol w:w="1065"/>
        <w:gridCol w:w="1050"/>
        <w:gridCol w:w="1005"/>
        <w:gridCol w:w="975"/>
        <w:gridCol w:w="1245"/>
        <w:gridCol w:w="1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355" w:type="dxa"/>
            <w:gridSpan w:val="8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2021年度平顶山市石龙区残疾人联合会部门整体支出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绩效评价得分情况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1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08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决策</w:t>
            </w:r>
          </w:p>
        </w:tc>
        <w:tc>
          <w:tcPr>
            <w:tcW w:w="106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05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履职效能</w:t>
            </w:r>
          </w:p>
        </w:tc>
        <w:tc>
          <w:tcPr>
            <w:tcW w:w="100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运行成本</w:t>
            </w:r>
          </w:p>
        </w:tc>
        <w:tc>
          <w:tcPr>
            <w:tcW w:w="97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社会效益</w:t>
            </w:r>
          </w:p>
        </w:tc>
        <w:tc>
          <w:tcPr>
            <w:tcW w:w="124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可持续性发展能力</w:t>
            </w:r>
          </w:p>
        </w:tc>
        <w:tc>
          <w:tcPr>
            <w:tcW w:w="102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权重</w:t>
            </w:r>
          </w:p>
        </w:tc>
        <w:tc>
          <w:tcPr>
            <w:tcW w:w="108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6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05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00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24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2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得分</w:t>
            </w:r>
          </w:p>
        </w:tc>
        <w:tc>
          <w:tcPr>
            <w:tcW w:w="108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9.5</w:t>
            </w:r>
          </w:p>
        </w:tc>
        <w:tc>
          <w:tcPr>
            <w:tcW w:w="106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20.45</w:t>
            </w:r>
          </w:p>
        </w:tc>
        <w:tc>
          <w:tcPr>
            <w:tcW w:w="105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100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7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24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2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84.95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1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得分率</w:t>
            </w:r>
          </w:p>
        </w:tc>
        <w:tc>
          <w:tcPr>
            <w:tcW w:w="108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95%</w:t>
            </w:r>
          </w:p>
        </w:tc>
        <w:tc>
          <w:tcPr>
            <w:tcW w:w="106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68.17%</w:t>
            </w:r>
          </w:p>
        </w:tc>
        <w:tc>
          <w:tcPr>
            <w:tcW w:w="105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96.67%</w:t>
            </w:r>
          </w:p>
        </w:tc>
        <w:tc>
          <w:tcPr>
            <w:tcW w:w="100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70%</w:t>
            </w:r>
          </w:p>
        </w:tc>
        <w:tc>
          <w:tcPr>
            <w:tcW w:w="97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100%</w:t>
            </w:r>
          </w:p>
        </w:tc>
        <w:tc>
          <w:tcPr>
            <w:tcW w:w="1245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80%</w:t>
            </w:r>
          </w:p>
        </w:tc>
        <w:tc>
          <w:tcPr>
            <w:tcW w:w="102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84.95%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四、绩效评价指标分析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 部门决策情况：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决策机制指标分值3分，得3分。其中决策制度的科学性得3分。2.中长期规划分值3分，得2.5分。其中中长期规划明确性得0.5分；中长期规划与部门职能的匹配性得2分。3.年度工作计划指标分值4分，得4分，其中年度工作计划明确性得2分；年度工作计划与部门职能匹配性得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（二）部门管理情况：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预算管理指标分值9分，得6.35分。其中预算管理制度健全性得0.5分；预算编制得0.5分；预算执行率得1分；预算调整率得0.6分；结转结余变动率得0分；政府采购执行率得1分；资金使用合规性得0.75分；预决算信息公开及时性得1分；基础信息完善性得1分。2.绩效管理指标分值8分，得4分。其中预算绩效管理机制得0.5分；绩效目标合理性得2分；绩效指标明确性得1分；绩效监控完成情况得0分；绩效自评完成情况得0.5分；评价结果应用情况得0分。3.财务管理指标分值5分，得4分。其中财务管理规范性得2分；支出结构合理性得2分。4.资产管理指标分值3分，得2.6分。其中资产管理规范性得1.6分；固定资产利用率得1分。5.业务管理指标分值5分，得3.5分。其中管理制度健全性得1.5分；制度执行有效性得2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（三）履职效能情况：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办公室指标分值6分，得5分。其中残疾人事业宣传工作得1分；精神文明建设工作得2分；文化活动周工作得2分。2.康复部指标分值6分，得6分。其中落实精神病免费服药政策得2分；巩固拓展残疾儿童救助工作得2分；优化辅具发放流程得2分。3.教育就业部指标分值6分，得6分。其中残疾人教育工作得2分；重度残疾人居家托养服务得2分；残疾人两项补贴审核工作得2分。4.组织联络部指标分值6分，得6分。其中调查残疾人状况得2分；组织志愿者助残活动得2分；完善基层残疾人组织建设及残协建设得2分。5.维权部指标分值分，得6分。其中残疾人信访工作得2分；残疾人职业培训得2分；残疾人家庭无障碍改造得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（四）运行成本情况：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1.基本经费指标分值5分，得2分。其中财政供养人员控制率得2分；“三公经费”变动率得0分。2.项目经费指标分值5分，得5分。其中重点支出安排率得5分。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（五）社会效益情况：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社会效益指标分值10分，得10分。其中加强残疾人社会保障工作得3分；减少重度残疾人评残困难得2分；改善了残疾人的生活环境和生活质量得3分；提高残疾人发展和增收能力得2分。2.服务对象满意度指标分值5分，得5分。其中残疾人满意度得5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（六）可持续性发展能力情况：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1.政策制度分值2分，得2分。其中政策制度可持续得2分。2.队伍建设指标分值2分，得1分。其中部门干部培养得1分。3.经费保障指标分值1分，得1分。其中经费投入可持续得1分。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五、存在的问题及原因分析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绩效指标设置不合理，绩效管理水平有待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提高。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部门整体绩效目标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表中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履职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目标填报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简单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，部门年度主要任务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填报不完善，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不能反映预期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达到的总体产出和效果；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指标值设置不合理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（二）未开展绩效监控工作。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2021年度针对年初设置的部门整体及各项目绩效目标，未组织开展绩效运行监控工作。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（三）绩效自评质量不高。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部门整体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自评总结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中缺少对部门支出情况的说明，未结合绩效目标申报表对年度重点任务进行针对性说明。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项目绩效自评出现多处错误。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bookmarkStart w:id="0" w:name="_Toc3209"/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（四）管理制度不完善，执行力度有待加强。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内部财务管理制度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内容过于笼统，对资金支出、审核、监管方面无明确规定，可执行性较弱。预算管理制度执行不到位。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（五）残疾人事业宣传力度不够，助残惠残政策影响力需增强。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助残惠残事业的宣传较少，开展的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无障碍设施改造、残疾儿童康复救助、重度残疾人评残、残疾人技能培训等助残活动未及时总结宣传，不符合新时期残疾人事业宣传工作的新要求。</w:t>
      </w:r>
    </w:p>
    <w:bookmarkEnd w:id="0"/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落实绩效责任主体，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提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高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绩效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管理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一是科学设置绩效目标和绩效指标。</w:t>
      </w:r>
      <w:r>
        <w:rPr>
          <w:rFonts w:hint="eastAsia" w:ascii="仿宋" w:hAnsi="仿宋" w:eastAsia="仿宋" w:cs="仿宋"/>
          <w:sz w:val="32"/>
          <w:szCs w:val="32"/>
        </w:rPr>
        <w:t>绩效目标设置应紧扣全年工作内容，对全年工作的开展具有指导作用。</w:t>
      </w:r>
      <w:bookmarkStart w:id="1" w:name="_Toc4314"/>
      <w:bookmarkStart w:id="2" w:name="_Toc251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注重过程管理，做好绩效监控。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建立绩效运行跟踪监控机制，定期采集绩效运行信息并汇总分析，对绩效目标运行情况进行跟踪管理和督促检查，纠偏扬长，促进绩效目标的顺利实现。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三是扎实开展绩效自评，强化结果应用。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对部门整体和项目开展评价分析，对未完成绩效目标的情况进行原因分析和说明，研究制订整改措施，并在以后的工作中积极改进。</w:t>
      </w:r>
    </w:p>
    <w:bookmarkEnd w:id="1"/>
    <w:bookmarkEnd w:id="2"/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3" w:leftChars="0"/>
        <w:textAlignment w:val="auto"/>
        <w:rPr>
          <w:rFonts w:hint="default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3" w:name="_Toc6"/>
      <w:bookmarkStart w:id="4" w:name="_Toc13309"/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（二）健全细化内部管理制度</w:t>
      </w:r>
      <w:bookmarkEnd w:id="3"/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，注重执行实效。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健全完善资金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业务相关管理制度，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业务的决策、执行、管理、监督机构及职责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业务各管理环节控制目标及管理要求。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不断强化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内部管理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制度的刚性运行，确保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执行到位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bookmarkEnd w:id="4"/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3" w:leftChars="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（三）善于主动发声，加强残疾人事业宣传工作。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5" w:name="_Toc11803"/>
      <w:bookmarkStart w:id="6" w:name="_Toc23220"/>
      <w:r>
        <w:rPr>
          <w:rFonts w:hint="eastAsia" w:ascii="仿宋" w:hAnsi="仿宋" w:eastAsia="仿宋" w:cs="仿宋"/>
          <w:color w:val="auto"/>
          <w:sz w:val="32"/>
          <w:szCs w:val="32"/>
        </w:rPr>
        <w:t>利用新媒体、网络等传播方式多样化的特点，高度重视互联网的传播与建设，积极引导好微博、微信等新型传播平台开展宣传工作。</w:t>
      </w:r>
      <w:bookmarkEnd w:id="5"/>
      <w:bookmarkEnd w:id="6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1729D"/>
    <w:multiLevelType w:val="multilevel"/>
    <w:tmpl w:val="24A1729D"/>
    <w:lvl w:ilvl="0" w:tentative="0">
      <w:start w:val="1"/>
      <w:numFmt w:val="decimal"/>
      <w:pStyle w:val="4"/>
      <w:lvlText w:val="%1.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31CFC746"/>
    <w:multiLevelType w:val="singleLevel"/>
    <w:tmpl w:val="31CFC74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YTZkODNlNDUzN2U3NTg4ZDBjZTc1N2NiMWZjMTQifQ=="/>
  </w:docVars>
  <w:rsids>
    <w:rsidRoot w:val="75DC7676"/>
    <w:rsid w:val="08DA0EE6"/>
    <w:rsid w:val="0F607C6B"/>
    <w:rsid w:val="10481FFD"/>
    <w:rsid w:val="15115C90"/>
    <w:rsid w:val="15393D14"/>
    <w:rsid w:val="1BE539D2"/>
    <w:rsid w:val="1C5D5C5E"/>
    <w:rsid w:val="1CEC0D90"/>
    <w:rsid w:val="1D5E3A3C"/>
    <w:rsid w:val="1D8F1E47"/>
    <w:rsid w:val="25292B82"/>
    <w:rsid w:val="2A662182"/>
    <w:rsid w:val="2BD80E5D"/>
    <w:rsid w:val="2D823B19"/>
    <w:rsid w:val="355D23D3"/>
    <w:rsid w:val="378105FB"/>
    <w:rsid w:val="39B07BC8"/>
    <w:rsid w:val="4340420E"/>
    <w:rsid w:val="43FE2FD4"/>
    <w:rsid w:val="47E863B1"/>
    <w:rsid w:val="4EE01C53"/>
    <w:rsid w:val="57B36157"/>
    <w:rsid w:val="581D7A74"/>
    <w:rsid w:val="58B32187"/>
    <w:rsid w:val="5D535CE6"/>
    <w:rsid w:val="64170325"/>
    <w:rsid w:val="668313EA"/>
    <w:rsid w:val="67002A3B"/>
    <w:rsid w:val="67044C14"/>
    <w:rsid w:val="686D4100"/>
    <w:rsid w:val="6B8A4FC9"/>
    <w:rsid w:val="756E14B8"/>
    <w:rsid w:val="75DC7676"/>
    <w:rsid w:val="768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numPr>
        <w:ilvl w:val="0"/>
        <w:numId w:val="1"/>
      </w:numPr>
      <w:spacing w:after="0"/>
      <w:ind w:left="0" w:firstLine="567" w:firstLineChars="0"/>
      <w:outlineLvl w:val="2"/>
    </w:pPr>
    <w:rPr>
      <w:rFonts w:ascii="宋体" w:hAnsi="宋体" w:cs="宋体"/>
      <w:sz w:val="2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idowControl/>
      <w:wordWrap w:val="0"/>
      <w:spacing w:after="60"/>
      <w:jc w:val="center"/>
    </w:pPr>
    <w:rPr>
      <w:sz w:val="24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3889</Words>
  <Characters>4141</Characters>
  <Lines>0</Lines>
  <Paragraphs>0</Paragraphs>
  <TotalTime>5</TotalTime>
  <ScaleCrop>false</ScaleCrop>
  <LinksUpToDate>false</LinksUpToDate>
  <CharactersWithSpaces>4163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2022-12-21T00:32:00Z</dcterms:created>
  <dc:creator>WPS_1642667985</dc:creator>
  <cp:lastModifiedBy>lenovo</cp:lastModifiedBy>
  <dcterms:modified xsi:type="dcterms:W3CDTF">2023-01-03T03:34:55Z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3FE78079480F44BB9AFDAD5A18D141C6</vt:lpwstr>
  </property>
</Properties>
</file>