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河南威纳利实业有限公司平顶山市石龙区石料厂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91410404757116400J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杨延良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市石龙区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捞饭店村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平龙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）应急罚〔2021〕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郑自勋（410404000052）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徐彬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（410404000053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河南威纳利实业有限公司平顶山市石龙区石料厂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进行监督检查时，发现该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未按规定上报事故隐患排查治理统计分析表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。当即下达了《责令限期整改指令书》，责令限期改正。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证据一：现场检查记录、责令限期整改指令书。证据二：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河南威纳利实业有限公司平顶山市石龙区石料厂安全部长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周俊舟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的询问笔录。证据三：当日影像资料照片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。证明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河南威纳利实业有限公司平顶山市石龙区石料厂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进行监督检查时，发现该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未按规定上报事故隐患排查治理统计分析表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十四条第一款，生产经营单位应当每季、每年对本单位事故隐患排查治理情况进行统计分析，并分别于下一季度15日前和下一年1月31日前向安全监管监察部门和有关部门报送书面统计分析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《安全生产事故隐患排查治理暂行规定》第二十六条第二项，生产经营单位未按规定上报事故隐患排查治理统计分析表的，由安全监管监察部门给予警告，并处三万元以下的罚款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8"/>
                <w:szCs w:val="28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警告，并处人民币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u w:val="none"/>
                <w:lang w:eastAsia="zh-CN"/>
              </w:rPr>
              <w:t>贰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u w:val="none"/>
              </w:rPr>
              <w:t>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元罚款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2021年11月22日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240" w:firstLineChars="100"/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</w:pPr>
    <w:r>
      <w:rPr>
        <w:rFonts w:hint="eastAsia" w:ascii="微软雅黑" w:hAnsi="微软雅黑" w:eastAsia="微软雅黑" w:cs="微软雅黑"/>
        <w:color w:val="000000"/>
        <w:kern w:val="0"/>
        <w:sz w:val="24"/>
        <w:szCs w:val="24"/>
        <w:u w:val="none"/>
        <w:lang w:eastAsia="zh-CN"/>
      </w:rPr>
      <w:t>河南威纳利实业有限公司平顶山市石龙区石料厂</w:t>
    </w:r>
    <w:r>
      <w:rPr>
        <w:rFonts w:hint="eastAsia" w:ascii="微软雅黑" w:hAnsi="微软雅黑" w:eastAsia="微软雅黑" w:cs="微软雅黑"/>
        <w:color w:val="000000"/>
        <w:kern w:val="0"/>
        <w:sz w:val="24"/>
        <w:szCs w:val="24"/>
        <w:u w:val="none"/>
        <w:lang w:val="en-US" w:eastAsia="zh-CN"/>
      </w:rPr>
      <w:t>未按规定上报事故隐患排查治理统计分析表案</w:t>
    </w:r>
    <w:r>
      <w:rPr>
        <w:rFonts w:hint="eastAsia" w:ascii="微软雅黑" w:hAnsi="微软雅黑" w:eastAsia="微软雅黑" w:cs="微软雅黑"/>
        <w:b/>
        <w:bCs/>
        <w:sz w:val="28"/>
        <w:szCs w:val="28"/>
        <w:u w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169B35B4"/>
    <w:rsid w:val="1CE56624"/>
    <w:rsid w:val="1DAA13BB"/>
    <w:rsid w:val="33A36C82"/>
    <w:rsid w:val="3434239C"/>
    <w:rsid w:val="398C4B96"/>
    <w:rsid w:val="3D0C6162"/>
    <w:rsid w:val="48DD7443"/>
    <w:rsid w:val="4B363280"/>
    <w:rsid w:val="4FE17D8F"/>
    <w:rsid w:val="644671CA"/>
    <w:rsid w:val="6C51034A"/>
    <w:rsid w:val="6F203019"/>
    <w:rsid w:val="7A815252"/>
    <w:rsid w:val="7CA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